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tan-20260908.htm"/>
      <w:bookmarkStart w:id="1" w:name="ksttan20260908"/>
      <w:bookmarkEnd w:id="0"/>
      <w:bookmarkEnd w:id="1"/>
      <w:r>
        <w:rPr/>
        <w:t> </w:t>
      </w:r>
    </w:p>
    <w:p>
      <w:pPr>
        <w:pStyle w:val="TextBody"/>
        <w:bidi w:val="0"/>
        <w:jc w:val="center"/>
        <w:rPr/>
      </w:pPr>
      <w:r>
        <w:rPr/>
        <w:t> </w:t>
      </w:r>
    </w:p>
    <w:p>
      <w:pPr>
        <w:pStyle w:val="TextBody"/>
        <w:pBdr>
          <w:top w:val="double" w:sz="6" w:space="1" w:color="000000"/>
        </w:pBdr>
        <w:bidi w:val="0"/>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Heading2"/>
        <w:bidi w:val="0"/>
        <w:spacing w:before="12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Heading2"/>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76" w:type="dxa"/>
        <w:jc w:val="left"/>
        <w:tblInd w:w="0" w:type="dxa"/>
        <w:tblLayout w:type="fixed"/>
        <w:tblCellMar>
          <w:top w:w="28" w:type="dxa"/>
          <w:left w:w="28" w:type="dxa"/>
          <w:bottom w:w="28" w:type="dxa"/>
          <w:right w:w="28" w:type="dxa"/>
        </w:tblCellMar>
      </w:tblPr>
      <w:tblGrid>
        <w:gridCol w:w="5776"/>
      </w:tblGrid>
      <w:tr>
        <w:trPr/>
        <w:tc>
          <w:tcPr>
            <w:tcW w:w="5776" w:type="dxa"/>
            <w:tcBorders/>
            <w:vAlign w:val="center"/>
          </w:tcPr>
          <w:p>
            <w:pPr>
              <w:pStyle w:val="TableContents"/>
              <w:bidi w:val="0"/>
              <w:spacing w:before="0" w:after="283"/>
              <w:jc w:val="left"/>
              <w:rPr>
                <w:sz w:val="4"/>
                <w:szCs w:val="4"/>
              </w:rPr>
            </w:pPr>
            <w:r>
              <w:rPr>
                <w:sz w:val="4"/>
                <w:szCs w:val="4"/>
              </w:rPr>
            </w:r>
          </w:p>
        </w:tc>
      </w:tr>
      <w:tr>
        <w:trPr/>
        <w:tc>
          <w:tcPr>
            <w:tcW w:w="5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ServiceTitan,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001-42434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26-0331862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800 N. Brand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Glendale,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91203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(855)</w:t>
            </w:r>
            <w:r>
              <w:rPr>
                <w:rFonts w:ascii="Times New Roman" w:hAnsi="Times New Roman"/>
                <w:color w:val="000000"/>
                <w:sz w:val="20"/>
              </w:rPr>
              <w:t xml:space="preserve"> </w:t>
            </w:r>
            <w:r>
              <w:rPr>
                <w:rFonts w:ascii="Times New Roman" w:hAnsi="Times New Roman"/>
                <w:b/>
                <w:color w:val="000000"/>
                <w:sz w:val="20"/>
              </w:rPr>
              <w:t>899-0970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25" w:type="dxa"/>
        <w:jc w:val="left"/>
        <w:tblInd w:w="0" w:type="dxa"/>
        <w:tblLayout w:type="fixed"/>
        <w:tblCellMar>
          <w:top w:w="28" w:type="dxa"/>
          <w:left w:w="28" w:type="dxa"/>
          <w:bottom w:w="28" w:type="dxa"/>
          <w:right w:w="28" w:type="dxa"/>
        </w:tblCellMar>
      </w:tblPr>
      <w:tblGrid>
        <w:gridCol w:w="4261"/>
        <w:gridCol w:w="146"/>
        <w:gridCol w:w="946"/>
        <w:gridCol w:w="146"/>
        <w:gridCol w:w="3826"/>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TTAN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pBdr>
          <w:top w:val="double" w:sz="2"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September 8, 2026, ServiceTitan, Inc. (the “Company”) issued a press release announcing its financial results for the fiscal second quarter ended July 31, 2026. In the press release, the Company also announced that it would hold a conference call to discuss these financial results on September 8, 2026 at 2:00 p.m. Pacific Time (5:00 p.m. Eastern Time). A copy of the press release is furnished hereto as Exhibit 99.1 to this Current Report on Form 8-K and is incorporated herein by reference.</w:t>
      </w:r>
    </w:p>
    <w:p>
      <w:pPr>
        <w:pStyle w:val="Heading2"/>
        <w:bidi w:val="0"/>
        <w:spacing w:before="360" w:after="283"/>
        <w:jc w:val="both"/>
        <w:rPr>
          <w:rFonts w:ascii="Times New Roman" w:hAnsi="Times New Roman"/>
          <w:b w:val="false"/>
          <w:color w:val="000000"/>
          <w:sz w:val="20"/>
        </w:rPr>
      </w:pPr>
      <w:r>
        <w:rPr>
          <w:rFonts w:ascii="Times New Roman" w:hAnsi="Times New Roman"/>
          <w:b w:val="false"/>
          <w:color w:val="000000"/>
          <w:sz w:val="20"/>
        </w:rPr>
        <w:t>The Company makes reference to non-GAAP financial information in the press release. A reconciliation of these non-GAAP financial measures to their nearest GAAP equivalents is provided in the press release.</w:t>
      </w:r>
    </w:p>
    <w:p>
      <w:pPr>
        <w:pStyle w:val="Heading2"/>
        <w:bidi w:val="0"/>
        <w:spacing w:before="360" w:after="283"/>
        <w:jc w:val="both"/>
        <w:rPr>
          <w:rFonts w:ascii="Times New Roman" w:hAnsi="Times New Roman"/>
          <w:b w:val="false"/>
          <w:color w:val="000000"/>
          <w:sz w:val="20"/>
        </w:rPr>
      </w:pPr>
      <w:r>
        <w:rPr>
          <w:rFonts w:ascii="Times New Roman" w:hAnsi="Times New Roman"/>
          <w:b w:val="false"/>
          <w:color w:val="000000"/>
          <w:sz w:val="20"/>
        </w:rPr>
        <w:t>The information in this Item 2.02, including Exhibit 99.1 furnished hereto, shall not be deemed to be “filed” for purposes of Section 18 of the Securities Exchange Act of 1934, as amended (the “Exchange Act”), or otherwise subject to the liabilities of that section. The information contained in this Item 2.02 and in the accompanying Exhibit 99.1 shall not be incorporated by reference into any other filing under the Exchange Act or under the Securities Act of 1933, as amended, whether made before or after the date hereof, regardless of any general incorporation language in such filing, except as shall be expressly set forth by specific reference in such filing.</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The following exhibits are being filed herewith:</w:t>
      </w:r>
    </w:p>
    <w:p>
      <w:pPr>
        <w:pStyle w:val="TextBody"/>
        <w:bidi w:val="0"/>
        <w:jc w:val="left"/>
        <w:rPr/>
      </w:pPr>
      <w:r>
        <w:rPr/>
        <w:t> </w:t>
      </w:r>
    </w:p>
    <w:tbl>
      <w:tblPr>
        <w:tblW w:w="7738" w:type="dxa"/>
        <w:jc w:val="left"/>
        <w:tblInd w:w="0" w:type="dxa"/>
        <w:tblLayout w:type="fixed"/>
        <w:tblCellMar>
          <w:top w:w="28" w:type="dxa"/>
          <w:left w:w="28" w:type="dxa"/>
          <w:bottom w:w="28" w:type="dxa"/>
          <w:right w:w="28" w:type="dxa"/>
        </w:tblCellMar>
      </w:tblPr>
      <w:tblGrid>
        <w:gridCol w:w="946"/>
        <w:gridCol w:w="146"/>
        <w:gridCol w:w="664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ttan-ex99_1.htm">
              <w:r>
                <w:rPr>
                  <w:rStyle w:val="InternetLink"/>
                  <w:rFonts w:ascii="Times New Roman" w:hAnsi="Times New Roman"/>
                  <w:color w:val="0000FF"/>
                  <w:sz w:val="20"/>
                  <w:u w:val="single"/>
                </w:rPr>
                <w:t>Press Release, dated September 8,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825" w:type="dxa"/>
        <w:jc w:val="left"/>
        <w:tblInd w:w="0" w:type="dxa"/>
        <w:tblLayout w:type="fixed"/>
        <w:tblCellMar>
          <w:top w:w="28" w:type="dxa"/>
          <w:left w:w="28" w:type="dxa"/>
          <w:bottom w:w="28" w:type="dxa"/>
          <w:right w:w="28" w:type="dxa"/>
        </w:tblCellMar>
      </w:tblPr>
      <w:tblGrid>
        <w:gridCol w:w="2116"/>
        <w:gridCol w:w="146"/>
        <w:gridCol w:w="406"/>
        <w:gridCol w:w="146"/>
        <w:gridCol w:w="201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SERVICETITAN,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Dave Sherry</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Dave Sherry</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ttan-ex99_1.htm"/>
      <w:bookmarkStart w:id="3" w:name="ksttanex99_1"/>
      <w:bookmarkEnd w:id="2"/>
      <w:bookmarkEnd w:id="3"/>
      <w:r>
        <w:rPr/>
        <w:t> </w:t>
      </w:r>
      <w:r>
        <w:br w:type="page"/>
      </w:r>
    </w:p>
    <w:p>
      <w:pPr>
        <w:pStyle w:val="TextBody"/>
        <w:bidi w:val="0"/>
        <w:spacing w:before="0" w:after="120"/>
        <w:jc w:val="right"/>
        <w:rPr/>
      </w:pPr>
      <w:r>
        <w:rPr/>
        <w:drawing>
          <wp:inline distT="0" distB="0" distL="0" distR="0">
            <wp:extent cx="156210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266700"/>
                    </a:xfrm>
                    <a:prstGeom prst="rect">
                      <a:avLst/>
                    </a:prstGeom>
                  </pic:spPr>
                </pic:pic>
              </a:graphicData>
            </a:graphic>
          </wp:inline>
        </w:drawing>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ServiceTitan Announces Fiscal Second Quarter Financial Results</w:t>
      </w:r>
    </w:p>
    <w:p>
      <w:pPr>
        <w:pStyle w:val="TextBody"/>
        <w:bidi w:val="0"/>
        <w:spacing w:before="240" w:after="283"/>
        <w:jc w:val="both"/>
        <w:rPr>
          <w:rFonts w:ascii="Times New Roman" w:hAnsi="Times New Roman"/>
          <w:sz w:val="22"/>
        </w:rPr>
      </w:pPr>
      <w:r>
        <w:rPr>
          <w:rFonts w:ascii="Times New Roman" w:hAnsi="Times New Roman"/>
          <w:b/>
          <w:color w:val="000000"/>
          <w:sz w:val="22"/>
        </w:rPr>
        <w:t>LOS ANGELES – September 8, 2026 –</w:t>
      </w:r>
      <w:r>
        <w:rPr>
          <w:rFonts w:ascii="Times New Roman" w:hAnsi="Times New Roman"/>
          <w:color w:val="363C44"/>
          <w:sz w:val="22"/>
        </w:rPr>
        <w:t xml:space="preserve"> </w:t>
      </w:r>
      <w:r>
        <w:rPr>
          <w:rFonts w:ascii="Times New Roman" w:hAnsi="Times New Roman"/>
          <w:color w:val="000000"/>
          <w:sz w:val="22"/>
        </w:rPr>
        <w:t>ServiceTitan (NASDAQ: TTAN), the software platform that powers the trades, today announced financial results for the fiscal second quarter ended July 31, 2026.</w:t>
      </w:r>
    </w:p>
    <w:p>
      <w:pPr>
        <w:pStyle w:val="TextBody"/>
        <w:bidi w:val="0"/>
        <w:spacing w:lineRule="auto" w:line="360" w:before="240" w:after="283"/>
        <w:jc w:val="both"/>
        <w:rPr/>
      </w:pPr>
      <w:r>
        <w:rPr>
          <w:color w:val="000000"/>
        </w:rPr>
        <w:t>“</w:t>
      </w:r>
      <w:r>
        <w:rPr>
          <w:rFonts w:ascii="Times New Roman" w:hAnsi="Times New Roman"/>
          <w:color w:val="000000"/>
          <w:sz w:val="22"/>
        </w:rPr>
        <w:t>Our strong momentum delivering the Agentic Operating System to the Trades resulted in 21% year-over-year revenue growth and over $50 million of non-GAAP free cash flow this quarter,” said Ara Mahdessian, Co-Founder and CEO. “Delivering this Agentic Operating System to our customers and leveraging AI to further enhance our organizational velocity are once in a lifetime opportunities to execute against.”</w:t>
      </w:r>
      <w:r>
        <w:rPr>
          <w:rFonts w:ascii="Times New Roman" w:hAnsi="Times New Roman"/>
          <w:color w:val="000000"/>
          <w:sz w:val="15"/>
        </w:rPr>
        <w:t>(1)</w:t>
      </w:r>
    </w:p>
    <w:p>
      <w:pPr>
        <w:pStyle w:val="TextBody"/>
        <w:bidi w:val="0"/>
        <w:spacing w:before="240" w:after="283"/>
        <w:jc w:val="both"/>
        <w:rPr>
          <w:color w:val="000000"/>
        </w:rPr>
      </w:pPr>
      <w:r>
        <w:rPr>
          <w:color w:val="000000"/>
        </w:rPr>
        <w:t>“</w:t>
      </w:r>
      <w:r>
        <w:rPr>
          <w:rFonts w:ascii="Times New Roman" w:hAnsi="Times New Roman"/>
          <w:color w:val="000000"/>
          <w:sz w:val="22"/>
        </w:rPr>
        <w:t>Our organizational velocity is improving and our investments in AI are delivering,” said Vahe Kuzoyan, Co-Founder and President, “We exceeded our goal of doubling Max locations during Q2. As a result of strong execution with existing customers and progress with select new customers, we now expect to end this fiscal year with over 700 enrolled Max locations.”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Fiscal Second Quarter 2027 Financial and Operational Highlights: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58"/>
        <w:gridCol w:w="146"/>
        <w:gridCol w:w="2704"/>
        <w:gridCol w:w="146"/>
        <w:gridCol w:w="2751"/>
      </w:tblGrid>
      <w:tr>
        <w:trPr/>
        <w:tc>
          <w:tcPr>
            <w:tcW w:w="4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r>
      <w:tr>
        <w:trPr/>
        <w:tc>
          <w:tcPr>
            <w:tcW w:w="4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Fiscal Second Quarter 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Fiscal Second Quarter 2026</w:t>
            </w:r>
          </w:p>
        </w:tc>
      </w:tr>
      <w:tr>
        <w:trPr/>
        <w:tc>
          <w:tcPr>
            <w:tcW w:w="4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millions, except percentages and GTV)</w:t>
            </w:r>
          </w:p>
        </w:tc>
      </w:tr>
      <w:tr>
        <w:trPr/>
        <w:tc>
          <w:tcPr>
            <w:tcW w:w="4458"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2"/>
              </w:rPr>
              <w:t>Gross transaction volume (“GTV”) (</w:t>
            </w:r>
            <w:r>
              <w:rPr>
                <w:rFonts w:ascii="Times New Roman" w:hAnsi="Times New Roman"/>
                <w:i/>
                <w:color w:val="000000"/>
                <w:sz w:val="22"/>
              </w:rPr>
              <w:t>in billions</w:t>
            </w:r>
            <w:r>
              <w:rPr>
                <w:rFonts w:ascii="Times New Roman" w:hAnsi="Times New Roman"/>
                <w:color w:val="000000"/>
                <w:sz w:val="22"/>
              </w:rPr>
              <w:t>)</w:t>
            </w: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$22.9</w:t>
            </w:r>
          </w:p>
        </w:tc>
      </w:tr>
      <w:tr>
        <w:trPr/>
        <w:tc>
          <w:tcPr>
            <w:tcW w:w="4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YOY GTV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2"/>
              </w:rPr>
            </w:pPr>
            <w:r>
              <w:rPr>
                <w:rFonts w:ascii="Times New Roman" w:hAnsi="Times New Roman"/>
                <w:i/>
                <w:color w:val="000000"/>
                <w:sz w:val="22"/>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2"/>
              </w:rPr>
            </w:pPr>
            <w:r>
              <w:rPr>
                <w:rFonts w:ascii="Times New Roman" w:hAnsi="Times New Roman"/>
                <w:i/>
                <w:color w:val="000000"/>
                <w:sz w:val="22"/>
              </w:rPr>
              <w:t>19%</w:t>
            </w:r>
          </w:p>
        </w:tc>
      </w:tr>
      <w:tr>
        <w:trPr/>
        <w:tc>
          <w:tcPr>
            <w:tcW w:w="4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$242.1</w:t>
            </w:r>
          </w:p>
        </w:tc>
      </w:tr>
      <w:tr>
        <w:trPr/>
        <w:tc>
          <w:tcPr>
            <w:tcW w:w="4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YOY revenue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2"/>
              </w:rPr>
            </w:pPr>
            <w:r>
              <w:rPr>
                <w:rFonts w:ascii="Times New Roman" w:hAnsi="Times New Roman"/>
                <w:i/>
                <w:color w:val="000000"/>
                <w:sz w:val="22"/>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2"/>
              </w:rPr>
            </w:pPr>
            <w:r>
              <w:rPr>
                <w:rFonts w:ascii="Times New Roman" w:hAnsi="Times New Roman"/>
                <w:i/>
                <w:color w:val="000000"/>
                <w:sz w:val="22"/>
              </w:rPr>
              <w:t>25%</w:t>
            </w:r>
          </w:p>
        </w:tc>
      </w:tr>
      <w:tr>
        <w:trPr/>
        <w:tc>
          <w:tcPr>
            <w:tcW w:w="4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Platform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$232.7</w:t>
            </w:r>
          </w:p>
        </w:tc>
      </w:tr>
      <w:tr>
        <w:trPr/>
        <w:tc>
          <w:tcPr>
            <w:tcW w:w="4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YOY platform revenue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2"/>
              </w:rPr>
            </w:pPr>
            <w:r>
              <w:rPr>
                <w:rFonts w:ascii="Times New Roman" w:hAnsi="Times New Roman"/>
                <w:i/>
                <w:color w:val="000000"/>
                <w:sz w:val="22"/>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2"/>
              </w:rPr>
            </w:pPr>
            <w:r>
              <w:rPr>
                <w:rFonts w:ascii="Times New Roman" w:hAnsi="Times New Roman"/>
                <w:i/>
                <w:color w:val="000000"/>
                <w:sz w:val="22"/>
              </w:rPr>
              <w:t>26%</w:t>
            </w:r>
          </w:p>
        </w:tc>
      </w:tr>
      <w:tr>
        <w:trPr/>
        <w:tc>
          <w:tcPr>
            <w:tcW w:w="4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GAAP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($34.8)</w:t>
            </w:r>
          </w:p>
        </w:tc>
      </w:tr>
      <w:tr>
        <w:trPr/>
        <w:tc>
          <w:tcPr>
            <w:tcW w:w="4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GAAP 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2"/>
              </w:rPr>
            </w:pPr>
            <w:r>
              <w:rPr>
                <w:rFonts w:ascii="Times New Roman" w:hAnsi="Times New Roman"/>
                <w:i/>
                <w:color w:val="000000"/>
                <w:sz w:val="22"/>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2"/>
              </w:rPr>
            </w:pPr>
            <w:r>
              <w:rPr>
                <w:rFonts w:ascii="Times New Roman" w:hAnsi="Times New Roman"/>
                <w:i/>
                <w:color w:val="000000"/>
                <w:sz w:val="22"/>
              </w:rPr>
              <w:t>-14.4%</w:t>
            </w:r>
          </w:p>
        </w:tc>
      </w:tr>
      <w:tr>
        <w:trPr/>
        <w:tc>
          <w:tcPr>
            <w:tcW w:w="4458"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2"/>
              </w:rPr>
              <w:t>Non-GAAP income from operations</w:t>
            </w: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$29.2</w:t>
            </w:r>
          </w:p>
        </w:tc>
      </w:tr>
      <w:tr>
        <w:trPr/>
        <w:tc>
          <w:tcPr>
            <w:tcW w:w="4458"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2"/>
              </w:rPr>
              <w:t>Non-GAAP operating margin</w:t>
            </w: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2"/>
              </w:rPr>
            </w:pPr>
            <w:r>
              <w:rPr>
                <w:rFonts w:ascii="Times New Roman" w:hAnsi="Times New Roman"/>
                <w:i/>
                <w:color w:val="000000"/>
                <w:sz w:val="22"/>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2"/>
              </w:rPr>
            </w:pPr>
            <w:r>
              <w:rPr>
                <w:rFonts w:ascii="Times New Roman" w:hAnsi="Times New Roman"/>
                <w:i/>
                <w:color w:val="000000"/>
                <w:sz w:val="22"/>
              </w:rPr>
              <w:t>12.1%</w:t>
            </w:r>
          </w:p>
        </w:tc>
      </w:tr>
      <w:tr>
        <w:trPr/>
        <w:tc>
          <w:tcPr>
            <w:tcW w:w="4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GAAP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$40.3</w:t>
            </w:r>
          </w:p>
        </w:tc>
      </w:tr>
      <w:tr>
        <w:trPr/>
        <w:tc>
          <w:tcPr>
            <w:tcW w:w="4458"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2"/>
              </w:rPr>
              <w:t>Non-GAAP free cash flow</w:t>
            </w: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$34.3</w:t>
            </w:r>
          </w:p>
        </w:tc>
      </w:tr>
      <w:tr>
        <w:trPr/>
        <w:tc>
          <w:tcPr>
            <w:tcW w:w="4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dollar retention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&gt; 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&gt; 110%</w:t>
            </w:r>
          </w:p>
        </w:tc>
      </w:tr>
    </w:tbl>
    <w:p>
      <w:pPr>
        <w:pStyle w:val="TextBody"/>
        <w:bidi w:val="0"/>
        <w:jc w:val="left"/>
        <w:rPr>
          <w:rFonts w:ascii="Times New Roman" w:hAnsi="Times New Roman"/>
          <w:b/>
          <w:color w:val="000000"/>
          <w:sz w:val="16"/>
        </w:rPr>
      </w:pPr>
      <w:r>
        <w:rPr>
          <w:rFonts w:ascii="Times New Roman" w:hAnsi="Times New Roman"/>
          <w:b/>
          <w:color w:val="000000"/>
          <w:sz w:val="16"/>
        </w:rPr>
        <w:t>_________________________</w:t>
      </w:r>
    </w:p>
    <w:p>
      <w:pPr>
        <w:pStyle w:val="TextBody"/>
        <w:bidi w:val="0"/>
        <w:spacing w:lineRule="auto" w:line="360" w:before="40" w:after="283"/>
        <w:jc w:val="both"/>
        <w:rPr>
          <w:rFonts w:ascii="Times New Roman" w:hAnsi="Times New Roman"/>
          <w:sz w:val="12"/>
        </w:rPr>
      </w:pPr>
      <w:r>
        <w:rPr>
          <w:rFonts w:ascii="Times New Roman" w:hAnsi="Times New Roman"/>
          <w:color w:val="000000"/>
          <w:sz w:val="12"/>
        </w:rPr>
        <w:t xml:space="preserve">(1) </w:t>
      </w:r>
      <w:r>
        <w:rPr>
          <w:rFonts w:ascii="Times New Roman" w:hAnsi="Times New Roman"/>
          <w:color w:val="000000"/>
          <w:sz w:val="13"/>
        </w:rPr>
        <w:t>This press release uses non-GAAP financial measures that adjust GAAP financial measures for the impact of various items. See the section titled “Non-GAAP Financial Measures” and the tables entitled “GAAP to Non-GAAP Reconciliation” below for additional information.</w:t>
      </w:r>
    </w:p>
    <w:p>
      <w:pPr>
        <w:pStyle w:val="TextBody"/>
        <w:bidi w:val="0"/>
        <w:spacing w:lineRule="auto" w:line="360"/>
        <w:jc w:val="left"/>
        <w:rPr>
          <w:rFonts w:ascii="Times New Roman" w:hAnsi="Times New Roman"/>
          <w:sz w:val="12"/>
        </w:rPr>
      </w:pPr>
      <w:r>
        <w:rPr>
          <w:rFonts w:ascii="Times New Roman" w:hAnsi="Times New Roman"/>
          <w:color w:val="000000"/>
          <w:sz w:val="12"/>
        </w:rPr>
        <w:t xml:space="preserve">(2) </w:t>
      </w:r>
      <w:r>
        <w:rPr>
          <w:rFonts w:ascii="Times New Roman" w:hAnsi="Times New Roman"/>
          <w:color w:val="000000"/>
          <w:sz w:val="13"/>
        </w:rPr>
        <w:t>Gross Transaction Volume (“GTV”) represents the sum of total dollars invoiced by our customers through the ServiceTitan platform in a given period, which is intended to be a proxy for the total revenue our customers generate.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right"/>
        <w:rPr/>
      </w:pPr>
      <w:r>
        <w:rPr/>
        <w:drawing>
          <wp:inline distT="0" distB="0" distL="0" distR="0">
            <wp:extent cx="1562100"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62100" cy="266700"/>
                    </a:xfrm>
                    <a:prstGeom prst="rect">
                      <a:avLst/>
                    </a:prstGeom>
                  </pic:spPr>
                </pic:pic>
              </a:graphicData>
            </a:graphic>
          </wp:inline>
        </w:drawing>
      </w:r>
    </w:p>
    <w:p>
      <w:pPr>
        <w:pStyle w:val="TextBody"/>
        <w:bidi w:val="0"/>
        <w:spacing w:before="40" w:after="283"/>
        <w:jc w:val="both"/>
        <w:rPr>
          <w:rFonts w:ascii="Times New Roman" w:hAnsi="Times New Roman"/>
          <w:b/>
          <w:color w:val="000000"/>
          <w:sz w:val="22"/>
        </w:rPr>
      </w:pPr>
      <w:r>
        <w:rPr>
          <w:rFonts w:ascii="Times New Roman" w:hAnsi="Times New Roman"/>
          <w:b/>
          <w:color w:val="000000"/>
          <w:sz w:val="22"/>
        </w:rPr>
        <w:t>Fiscal Third Quarter and Fiscal Year 2027 Financial Outlook:</w:t>
      </w:r>
    </w:p>
    <w:p>
      <w:pPr>
        <w:pStyle w:val="TextBody"/>
        <w:bidi w:val="0"/>
        <w:spacing w:before="40" w:after="283"/>
        <w:jc w:val="both"/>
        <w:rPr>
          <w:rFonts w:ascii="Times New Roman" w:hAnsi="Times New Roman"/>
          <w:color w:val="000000"/>
          <w:sz w:val="22"/>
        </w:rPr>
      </w:pPr>
      <w:r>
        <w:rPr>
          <w:rFonts w:ascii="Times New Roman" w:hAnsi="Times New Roman"/>
          <w:color w:val="000000"/>
          <w:sz w:val="22"/>
        </w:rPr>
        <w:t>For fiscal third quarter 2027 and for the full fiscal year 2027, the company currently expects:</w:t>
      </w:r>
    </w:p>
    <w:p>
      <w:pPr>
        <w:pStyle w:val="TextBody"/>
        <w:bidi w:val="0"/>
        <w:jc w:val="left"/>
        <w:rPr/>
      </w:pPr>
      <w:r>
        <w:rPr/>
        <w:t> </w:t>
      </w:r>
    </w:p>
    <w:tbl>
      <w:tblPr>
        <w:tblW w:w="8920" w:type="dxa"/>
        <w:jc w:val="left"/>
        <w:tblInd w:w="0" w:type="dxa"/>
        <w:tblLayout w:type="fixed"/>
        <w:tblCellMar>
          <w:top w:w="28" w:type="dxa"/>
          <w:left w:w="28" w:type="dxa"/>
          <w:bottom w:w="28" w:type="dxa"/>
          <w:right w:w="28" w:type="dxa"/>
        </w:tblCellMar>
      </w:tblPr>
      <w:tblGrid>
        <w:gridCol w:w="3676"/>
        <w:gridCol w:w="146"/>
        <w:gridCol w:w="2701"/>
        <w:gridCol w:w="146"/>
        <w:gridCol w:w="225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Fiscal Third Quarter 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Full Fiscal Year 2027</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millions)</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$285 - $287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$1,139 - $1,144</w:t>
            </w:r>
          </w:p>
        </w:tc>
      </w:tr>
      <w:tr>
        <w:trPr/>
        <w:tc>
          <w:tcPr>
            <w:tcW w:w="367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2"/>
              </w:rPr>
              <w:t>Non-GAAP income from operations</w:t>
            </w: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$29 -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$152 - $154</w:t>
            </w:r>
          </w:p>
        </w:tc>
      </w:tr>
    </w:tbl>
    <w:p>
      <w:pPr>
        <w:pStyle w:val="TextBody"/>
        <w:bidi w:val="0"/>
        <w:jc w:val="left"/>
        <w:rPr>
          <w:rFonts w:ascii="Times New Roman" w:hAnsi="Times New Roman"/>
          <w:b/>
          <w:color w:val="000000"/>
          <w:sz w:val="16"/>
        </w:rPr>
      </w:pPr>
      <w:r>
        <w:rPr>
          <w:rFonts w:ascii="Times New Roman" w:hAnsi="Times New Roman"/>
          <w:b/>
          <w:color w:val="000000"/>
          <w:sz w:val="16"/>
        </w:rPr>
        <w:t>_________________________</w:t>
      </w:r>
    </w:p>
    <w:p>
      <w:pPr>
        <w:pStyle w:val="TextBody"/>
        <w:bidi w:val="0"/>
        <w:spacing w:lineRule="auto" w:line="360"/>
        <w:jc w:val="left"/>
        <w:rPr>
          <w:rFonts w:ascii="Times New Roman" w:hAnsi="Times New Roman"/>
          <w:sz w:val="12"/>
        </w:rPr>
      </w:pPr>
      <w:r>
        <w:rPr>
          <w:rFonts w:ascii="Times New Roman" w:hAnsi="Times New Roman"/>
          <w:color w:val="000000"/>
          <w:sz w:val="12"/>
        </w:rPr>
        <w:t xml:space="preserve">(3) </w:t>
      </w:r>
      <w:r>
        <w:rPr>
          <w:rFonts w:ascii="Times New Roman" w:hAnsi="Times New Roman"/>
          <w:color w:val="000000"/>
          <w:sz w:val="13"/>
        </w:rPr>
        <w:t>ServiceTitan is not able, at this time, to provide an outlook for GAAP loss from operations or a reconciliation of expected non-GAAP income from operations to GAAP loss from operations for the fiscal third quarter 2027 or for the full fiscal year 2027 because of the difficulty of estimating certain items excluded from non-GAAP income from operations that cannot be reasonably calculated or predicted without unreasonable efforts. For example, charges related to stock-based compensation expense require additional inputs, such as the number and value of awards granted, that are not currently ascertainable.</w:t>
      </w:r>
      <w:r>
        <w:rPr>
          <w:rFonts w:ascii="Times New Roman" w:hAnsi="Times New Roman"/>
          <w:color w:val="000000"/>
          <w:sz w:val="12"/>
        </w:rPr>
        <w:t xml:space="preserve"> </w:t>
      </w:r>
    </w:p>
    <w:p>
      <w:pPr>
        <w:pStyle w:val="TextBody"/>
        <w:bidi w:val="0"/>
        <w:jc w:val="left"/>
        <w:rPr/>
      </w:pPr>
      <w:r>
        <w:rPr/>
        <w:t> </w:t>
      </w:r>
    </w:p>
    <w:p>
      <w:pPr>
        <w:pStyle w:val="TextBody"/>
        <w:bidi w:val="0"/>
        <w:spacing w:before="40" w:after="283"/>
        <w:jc w:val="both"/>
        <w:rPr>
          <w:rFonts w:ascii="Times New Roman" w:hAnsi="Times New Roman"/>
          <w:b/>
          <w:color w:val="000000"/>
          <w:sz w:val="22"/>
        </w:rPr>
      </w:pPr>
      <w:r>
        <w:rPr>
          <w:rFonts w:ascii="Times New Roman" w:hAnsi="Times New Roman"/>
          <w:b/>
          <w:color w:val="000000"/>
          <w:sz w:val="22"/>
        </w:rPr>
        <w:t>Conference Call Information:</w:t>
      </w:r>
    </w:p>
    <w:p>
      <w:pPr>
        <w:pStyle w:val="TextBody"/>
        <w:bidi w:val="0"/>
        <w:spacing w:before="40" w:after="283"/>
        <w:jc w:val="both"/>
        <w:rPr>
          <w:rFonts w:ascii="Times New Roman" w:hAnsi="Times New Roman"/>
          <w:sz w:val="22"/>
        </w:rPr>
      </w:pPr>
      <w:r>
        <w:rPr>
          <w:rFonts w:ascii="Times New Roman" w:hAnsi="Times New Roman"/>
          <w:color w:val="000000"/>
          <w:sz w:val="22"/>
        </w:rPr>
        <w:t xml:space="preserve">The financial results and business highlights will be discussed on a conference call and webcast scheduled at 2:00 p.m. Pacific Time (5:00 p.m. Eastern Time) on Tuesday, September 8, 2026. Online registration for this conference call can be found </w:t>
      </w:r>
      <w:r>
        <w:rPr>
          <w:rFonts w:ascii="Times New Roman" w:hAnsi="Times New Roman"/>
          <w:sz w:val="22"/>
        </w:rPr>
        <w:t>here</w:t>
      </w:r>
      <w:r>
        <w:rPr>
          <w:rFonts w:ascii="Times New Roman" w:hAnsi="Times New Roman"/>
          <w:color w:val="000000"/>
          <w:sz w:val="22"/>
        </w:rPr>
        <w:t xml:space="preserve">. The live webcast of the conference call can be accessed from ServiceTitan’s investor relations website at </w:t>
      </w:r>
      <w:r>
        <w:rPr>
          <w:rFonts w:ascii="Times New Roman" w:hAnsi="Times New Roman"/>
          <w:sz w:val="22"/>
        </w:rPr>
        <w:t>http://investors.servicetitan.com</w:t>
      </w:r>
      <w:r>
        <w:rPr>
          <w:rFonts w:ascii="Times New Roman" w:hAnsi="Times New Roman"/>
          <w:color w:val="000000"/>
          <w:sz w:val="22"/>
        </w:rPr>
        <w:t>. Prepared remarks for the conference call have been made available on ServiceTitan’s investor relations website concurrently with this release.</w:t>
      </w:r>
    </w:p>
    <w:p>
      <w:pPr>
        <w:pStyle w:val="TextBody"/>
        <w:bidi w:val="0"/>
        <w:jc w:val="left"/>
        <w:rPr/>
      </w:pPr>
      <w:r>
        <w:rPr/>
        <w:t> </w:t>
      </w:r>
    </w:p>
    <w:p>
      <w:pPr>
        <w:pStyle w:val="TextBody"/>
        <w:bidi w:val="0"/>
        <w:jc w:val="both"/>
        <w:rPr>
          <w:rFonts w:ascii="Times New Roman" w:hAnsi="Times New Roman"/>
          <w:sz w:val="22"/>
        </w:rPr>
      </w:pPr>
      <w:r>
        <w:rPr>
          <w:rFonts w:ascii="Times New Roman" w:hAnsi="Times New Roman"/>
          <w:color w:val="000000"/>
          <w:sz w:val="22"/>
        </w:rPr>
        <w:t xml:space="preserve">Following completion of the events, a webcast replay will also be available at </w:t>
      </w:r>
      <w:r>
        <w:rPr>
          <w:rFonts w:ascii="Times New Roman" w:hAnsi="Times New Roman"/>
          <w:sz w:val="22"/>
        </w:rPr>
        <w:t>http://investors.servicetitan.com</w:t>
      </w:r>
      <w:r>
        <w:rPr>
          <w:rFonts w:ascii="Times New Roman" w:hAnsi="Times New Roman"/>
          <w:color w:val="000000"/>
          <w:sz w:val="22"/>
        </w:rPr>
        <w:t xml:space="preserve"> for 12 months.</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About ServiceTitan</w:t>
      </w:r>
    </w:p>
    <w:p>
      <w:pPr>
        <w:pStyle w:val="TextBody"/>
        <w:bidi w:val="0"/>
        <w:spacing w:before="40" w:after="283"/>
        <w:jc w:val="both"/>
        <w:rPr>
          <w:rFonts w:ascii="Times New Roman" w:hAnsi="Times New Roman"/>
          <w:sz w:val="22"/>
        </w:rPr>
      </w:pPr>
      <w:r>
        <w:rPr>
          <w:rFonts w:ascii="Times New Roman" w:hAnsi="Times New Roman"/>
          <w:sz w:val="22"/>
        </w:rPr>
        <w:t>ServiceTitan</w:t>
      </w:r>
      <w:r>
        <w:rPr>
          <w:rFonts w:ascii="Times New Roman" w:hAnsi="Times New Roman"/>
          <w:color w:val="000000"/>
          <w:sz w:val="22"/>
        </w:rPr>
        <w:t xml:space="preserve"> is AI for the trades — a purpose-built agentic operating system designed to automate the workflows that run a contracting business, from enterprise commercial construction to residential field service, exteriors and beyond. The company’s end-to-end solution gives contractors the tools they need to run and grow their business, while providing a stellar customer experience. Learn how ServiceTitan is equipping tradespeople with the AI technology they need to keep the world running at: </w:t>
      </w:r>
      <w:r>
        <w:rPr>
          <w:rFonts w:ascii="Times New Roman" w:hAnsi="Times New Roman"/>
          <w:sz w:val="22"/>
        </w:rPr>
        <w:t>www.servicetitan.com</w:t>
      </w:r>
      <w:r>
        <w:rPr>
          <w:rFonts w:ascii="Times New Roman" w:hAnsi="Times New Roman"/>
          <w:color w:val="000000"/>
          <w:sz w:val="22"/>
        </w:rPr>
        <w:t>.</w:t>
      </w:r>
    </w:p>
    <w:p>
      <w:pPr>
        <w:pStyle w:val="TextBody"/>
        <w:bidi w:val="0"/>
        <w:spacing w:before="40" w:after="283"/>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Forward Looking Statements</w:t>
      </w:r>
    </w:p>
    <w:p>
      <w:pPr>
        <w:pStyle w:val="TextBody"/>
        <w:bidi w:val="0"/>
        <w:spacing w:before="40" w:after="283"/>
        <w:jc w:val="both"/>
        <w:rPr>
          <w:rFonts w:ascii="Times New Roman" w:hAnsi="Times New Roman"/>
          <w:sz w:val="22"/>
        </w:rPr>
      </w:pPr>
      <w:r>
        <w:rPr>
          <w:rFonts w:ascii="Times New Roman" w:hAnsi="Times New Roman"/>
          <w:color w:val="000000"/>
          <w:sz w:val="22"/>
        </w:rPr>
        <w:t>This press release contains forward-looking statements within the meaning of the Securities Act of 1933, as amended, the Securities Exchange Act of 1934, as amended, and the Private Securities Litigation Reform Act of 1995. All statements other than statements of historical facts contained in this press release may be forward-looking statements. In some cases, you can identify forward-looking statements because they contain words such as “anticipate,” “believe,” “contemplate,” “continue,” “could,” “estimate,” “expect,” “goal,” “intend,” “likely,” “may,” “plan,” “potential,” “predict,” “project,” “seek,” “should,” “strategy,” “target,” or “will,” or the negative of these words or other similar terms or expressions that concern ServiceTitan’s expectations, strategy, plans or intentions. Forward-looking statements in this release include, but are not limited to, statements regarding ServiceTitan’s financial outlook for total revenue and non-GAAP income from operations for fiscal third quarter 2027 ending October 31, 2026 and the full fiscal year ending January 31, 2027, and statements regarding our ability to fully capitalize on bringing AI, including Max, to the trades, our operating and organizational velocity, AI strategy, and plans for Max. ServiceTitan’s expectations and beliefs regarding these matters may not materialize, and actual results in future periods are subject to risks and uncertainties that could cause actual results to differ materially from those projected, including those more fully described under the caption “</w:t>
      </w:r>
      <w:r>
        <w:rPr>
          <w:rFonts w:ascii="Times New Roman" w:hAnsi="Times New Roman"/>
          <w:i/>
          <w:color w:val="000000"/>
          <w:sz w:val="22"/>
        </w:rPr>
        <w:t>Risk Factors</w:t>
      </w:r>
      <w:r>
        <w:rPr>
          <w:rFonts w:ascii="Times New Roman" w:hAnsi="Times New Roman"/>
          <w:color w:val="000000"/>
          <w:sz w:val="22"/>
        </w:rPr>
        <w:t>” in our Quarterly Report on Form 10-Q for fiscal first quarter 2027 ended April 30, 2026 as filed with the SEC on June 5, 2026, which should be read in conjunction with this press release and the financial results included herein. Additional information will be set forth in our Quarterly Report on Form 10-Q for the fiscal second quarter 2027 ended July 31, 2026. The forward-looking statements in this release are based on information available to ServiceTitan as of the date hereof, and ServiceTitan undertakes no obligation to update any forward-looking statements, except as required by law.</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right"/>
        <w:rPr/>
      </w:pPr>
      <w:r>
        <w:rPr/>
        <w:drawing>
          <wp:inline distT="0" distB="0" distL="0" distR="0">
            <wp:extent cx="1562100"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62100" cy="266700"/>
                    </a:xfrm>
                    <a:prstGeom prst="rect">
                      <a:avLst/>
                    </a:prstGeom>
                  </pic:spPr>
                </pic:pic>
              </a:graphicData>
            </a:graphic>
          </wp:inline>
        </w:drawing>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Press Contact</w:t>
      </w:r>
    </w:p>
    <w:p>
      <w:pPr>
        <w:pStyle w:val="TextBody"/>
        <w:bidi w:val="0"/>
        <w:spacing w:before="40" w:after="283"/>
        <w:jc w:val="left"/>
        <w:rPr>
          <w:rFonts w:ascii="Times New Roman" w:hAnsi="Times New Roman"/>
          <w:color w:val="000000"/>
          <w:sz w:val="22"/>
        </w:rPr>
      </w:pPr>
      <w:r>
        <w:rPr>
          <w:rFonts w:ascii="Times New Roman" w:hAnsi="Times New Roman"/>
          <w:color w:val="000000"/>
          <w:sz w:val="22"/>
        </w:rPr>
        <w:t>Max Wertheimer</w:t>
      </w:r>
    </w:p>
    <w:p>
      <w:pPr>
        <w:pStyle w:val="TextBody"/>
        <w:bidi w:val="0"/>
        <w:jc w:val="left"/>
        <w:rPr>
          <w:rFonts w:ascii="Times New Roman" w:hAnsi="Times New Roman"/>
          <w:color w:val="000000"/>
          <w:sz w:val="22"/>
        </w:rPr>
      </w:pPr>
      <w:r>
        <w:rPr>
          <w:rFonts w:ascii="Times New Roman" w:hAnsi="Times New Roman"/>
          <w:color w:val="000000"/>
          <w:sz w:val="22"/>
        </w:rPr>
        <w:t>ServiceTitan, Inc.</w:t>
      </w:r>
    </w:p>
    <w:p>
      <w:pPr>
        <w:pStyle w:val="TextBody"/>
        <w:bidi w:val="0"/>
        <w:jc w:val="left"/>
        <w:rPr>
          <w:rFonts w:ascii="Times New Roman" w:hAnsi="Times New Roman"/>
          <w:sz w:val="22"/>
        </w:rPr>
      </w:pPr>
      <w:r>
        <w:rPr>
          <w:rFonts w:ascii="Times New Roman" w:hAnsi="Times New Roman"/>
          <w:sz w:val="22"/>
        </w:rPr>
        <w:t>press@servicetitan.com</w:t>
      </w:r>
      <w:r>
        <w:rPr>
          <w:rFonts w:ascii="Times New Roman" w:hAnsi="Times New Roman"/>
          <w:color w:val="000000"/>
          <w:sz w:val="22"/>
        </w:rPr>
        <w:t xml:space="preserve"> </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Investor Contact</w:t>
      </w:r>
    </w:p>
    <w:p>
      <w:pPr>
        <w:pStyle w:val="TextBody"/>
        <w:bidi w:val="0"/>
        <w:spacing w:before="40" w:after="283"/>
        <w:jc w:val="left"/>
        <w:rPr>
          <w:rFonts w:ascii="Times New Roman" w:hAnsi="Times New Roman"/>
          <w:color w:val="000000"/>
          <w:sz w:val="22"/>
        </w:rPr>
      </w:pPr>
      <w:r>
        <w:rPr>
          <w:rFonts w:ascii="Times New Roman" w:hAnsi="Times New Roman"/>
          <w:color w:val="000000"/>
          <w:sz w:val="22"/>
        </w:rPr>
        <w:t>Jason Rechel</w:t>
      </w:r>
    </w:p>
    <w:p>
      <w:pPr>
        <w:pStyle w:val="TextBody"/>
        <w:bidi w:val="0"/>
        <w:jc w:val="left"/>
        <w:rPr>
          <w:rFonts w:ascii="Times New Roman" w:hAnsi="Times New Roman"/>
          <w:color w:val="000000"/>
          <w:sz w:val="22"/>
        </w:rPr>
      </w:pPr>
      <w:r>
        <w:rPr>
          <w:rFonts w:ascii="Times New Roman" w:hAnsi="Times New Roman"/>
          <w:color w:val="000000"/>
          <w:sz w:val="22"/>
        </w:rPr>
        <w:t>ServiceTitan, Inc.</w:t>
      </w:r>
    </w:p>
    <w:p>
      <w:pPr>
        <w:pStyle w:val="TextBody"/>
        <w:bidi w:val="0"/>
        <w:jc w:val="left"/>
        <w:rPr>
          <w:rFonts w:ascii="Times New Roman" w:hAnsi="Times New Roman"/>
          <w:sz w:val="22"/>
        </w:rPr>
      </w:pPr>
      <w:r>
        <w:rPr>
          <w:rFonts w:ascii="Times New Roman" w:hAnsi="Times New Roman"/>
          <w:sz w:val="22"/>
        </w:rPr>
        <w:t>investors@servicetitan.com</w:t>
      </w:r>
    </w:p>
    <w:p>
      <w:pPr>
        <w:pStyle w:val="TextBody"/>
        <w:bidi w:val="0"/>
        <w:spacing w:before="240" w:after="283"/>
        <w:jc w:val="both"/>
        <w:rPr>
          <w:rFonts w:ascii="Times New Roman" w:hAnsi="Times New Roman"/>
          <w:sz w:val="22"/>
        </w:rPr>
      </w:pPr>
      <w:r>
        <w:rPr>
          <w:rFonts w:ascii="Times New Roman" w:hAnsi="Times New Roman"/>
          <w:i/>
          <w:color w:val="000000"/>
          <w:sz w:val="22"/>
        </w:rPr>
        <w:t>© 2026 ServiceTitan. All rights reserved. ServiceTitan, the ServiceTitan logo, and all ServiceTitan product and service names mentioned herein are registered trademarks or unregistered trademarks of ServiceTitan, Inc. in the United States and other countries. Other brand names and marks mentioned herein are for identification purposes only and may be the trademarks of their respective holder(s).</w:t>
      </w:r>
      <w:r>
        <w:rPr>
          <w:rFonts w:ascii="Times New Roman" w:hAnsi="Times New Roman"/>
          <w:color w:val="000000"/>
          <w:sz w:val="22"/>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right"/>
        <w:rPr/>
      </w:pPr>
      <w:r>
        <w:rPr/>
        <w:drawing>
          <wp:inline distT="0" distB="0" distL="0" distR="0">
            <wp:extent cx="1562100"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62100" cy="266700"/>
                    </a:xfrm>
                    <a:prstGeom prst="rect">
                      <a:avLst/>
                    </a:prstGeom>
                  </pic:spPr>
                </pic:pic>
              </a:graphicData>
            </a:graphic>
          </wp:inline>
        </w:drawing>
      </w:r>
    </w:p>
    <w:p>
      <w:pPr>
        <w:pStyle w:val="TextBody"/>
        <w:bidi w:val="0"/>
        <w:jc w:val="center"/>
        <w:rPr>
          <w:rFonts w:ascii="Times New Roman" w:hAnsi="Times New Roman"/>
          <w:b/>
          <w:color w:val="000000"/>
          <w:sz w:val="22"/>
        </w:rPr>
      </w:pPr>
      <w:r>
        <w:rPr>
          <w:rFonts w:ascii="Times New Roman" w:hAnsi="Times New Roman"/>
          <w:b/>
          <w:color w:val="000000"/>
          <w:sz w:val="22"/>
        </w:rPr>
        <w:t>ServiceTitan,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Operations</w:t>
      </w:r>
    </w:p>
    <w:p>
      <w:pPr>
        <w:pStyle w:val="TextBody"/>
        <w:bidi w:val="0"/>
        <w:jc w:val="center"/>
        <w:rPr>
          <w:rFonts w:ascii="Times New Roman" w:hAnsi="Times New Roman"/>
          <w:b/>
          <w:color w:val="000000"/>
          <w:sz w:val="22"/>
        </w:rPr>
      </w:pPr>
      <w:r>
        <w:rPr>
          <w:rFonts w:ascii="Times New Roman" w:hAnsi="Times New Roman"/>
          <w:b/>
          <w:color w:val="000000"/>
          <w:sz w:val="22"/>
        </w:rPr>
        <w:t>(in thousands, except share and per share data)</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4"/>
        <w:gridCol w:w="346"/>
        <w:gridCol w:w="211"/>
        <w:gridCol w:w="1036"/>
        <w:gridCol w:w="366"/>
        <w:gridCol w:w="346"/>
        <w:gridCol w:w="211"/>
        <w:gridCol w:w="1036"/>
        <w:gridCol w:w="166"/>
        <w:gridCol w:w="146"/>
        <w:gridCol w:w="211"/>
        <w:gridCol w:w="1036"/>
        <w:gridCol w:w="366"/>
        <w:gridCol w:w="346"/>
        <w:gridCol w:w="211"/>
        <w:gridCol w:w="1036"/>
        <w:gridCol w:w="411"/>
      </w:tblGrid>
      <w:tr>
        <w:trPr/>
        <w:tc>
          <w:tcPr>
            <w:tcW w:w="27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Platform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284,496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545,060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292,756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561,580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Platform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60,521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116,030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83,687</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70,774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158,720</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138,070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209,069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402,860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76,973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150,045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100,630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188,654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59,018</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117,475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236,621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456,174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(24,921</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(78,589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w:t>
              <w:br/>
              <w:t>   per share,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95,863,240</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91,687,907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95,440,743</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91,041,726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Disaggregated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212,373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414,411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Usage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130,649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Platform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284,496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545,060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 and 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292,756</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561,580</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457,815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right"/>
        <w:rPr/>
      </w:pPr>
      <w:r>
        <w:rPr/>
        <w:drawing>
          <wp:inline distT="0" distB="0" distL="0" distR="0">
            <wp:extent cx="1562100" cy="266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62100" cy="266700"/>
                    </a:xfrm>
                    <a:prstGeom prst="rect">
                      <a:avLst/>
                    </a:prstGeom>
                  </pic:spPr>
                </pic:pic>
              </a:graphicData>
            </a:graphic>
          </wp:inline>
        </w:drawing>
      </w:r>
    </w:p>
    <w:p>
      <w:pPr>
        <w:pStyle w:val="TextBody"/>
        <w:bidi w:val="0"/>
        <w:jc w:val="center"/>
        <w:rPr>
          <w:rFonts w:ascii="Times New Roman" w:hAnsi="Times New Roman"/>
          <w:b/>
          <w:color w:val="000000"/>
          <w:sz w:val="22"/>
        </w:rPr>
      </w:pPr>
      <w:r>
        <w:rPr>
          <w:rFonts w:ascii="Times New Roman" w:hAnsi="Times New Roman"/>
          <w:b/>
          <w:color w:val="000000"/>
          <w:sz w:val="22"/>
        </w:rPr>
        <w:t>ServiceTitan,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Balance Sheets</w:t>
      </w:r>
    </w:p>
    <w:p>
      <w:pPr>
        <w:pStyle w:val="TextBody"/>
        <w:bidi w:val="0"/>
        <w:jc w:val="center"/>
        <w:rPr>
          <w:rFonts w:ascii="Times New Roman" w:hAnsi="Times New Roman"/>
          <w:b/>
          <w:color w:val="000000"/>
          <w:sz w:val="22"/>
        </w:rPr>
      </w:pPr>
      <w:r>
        <w:rPr>
          <w:rFonts w:ascii="Times New Roman" w:hAnsi="Times New Roman"/>
          <w:b/>
          <w:color w:val="000000"/>
          <w:sz w:val="22"/>
        </w:rPr>
        <w:t>(in thousands, except share and per share data)</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72"/>
        <w:gridCol w:w="146"/>
        <w:gridCol w:w="196"/>
        <w:gridCol w:w="886"/>
        <w:gridCol w:w="166"/>
        <w:gridCol w:w="146"/>
        <w:gridCol w:w="196"/>
        <w:gridCol w:w="886"/>
        <w:gridCol w:w="1011"/>
      </w:tblGrid>
      <w:tr>
        <w:trPr/>
        <w:tc>
          <w:tcPr>
            <w:tcW w:w="6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428,769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 net of allowance of $11,151 and $11,963 as of July 31, 2026 and</w:t>
              <w:br/>
              <w:t>   January 31, 2026,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55,974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contract costs,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57,777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590,858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contract costs,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38,902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18,627</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Internal-use software,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39,246</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176,743</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860,250</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1,804,176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1,745,057</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 and 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52,262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83,095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169,452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37,322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219,823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 par value $0.001, 100,000,000 shares authorized as of July 31, 2026</w:t>
              <w:br/>
              <w:t>   and January 31, 2026. No shares issued and outstanding as of July 31, 2026 and</w:t>
              <w:br/>
              <w:t>   January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A common stock, par value $0.001, 1,000,000,000 shares authorized as of</w:t>
              <w:br/>
              <w:t>   July 31, 2026 and January 31, 2026. 83,857,202 shares and 81,956,537 shares</w:t>
              <w:br/>
              <w:t>   issued and outstanding as of July 31, 2026 and January 31, 2026,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Class B common stock, par value $0.001, 100,000,000 shares authorized as of </w:t>
              <w:br/>
              <w:t>   July 31, 2026 and January 31, 2026. 12,605,018 shares and 12,644,614 shares</w:t>
              <w:br/>
              <w:t>   issued and outstanding as of July 31, 2026 and January 31, 2026,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C common stock, par value $0.001, 100,000,000 shares authorized as of</w:t>
              <w:br/>
              <w:t xml:space="preserve">    July 31, 2026 and January 31, 2026. No shares issued and outstanding as of </w:t>
              <w:br/>
              <w:t>    July 31, 2026 and January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2,918,922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2,790,722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(1,265,583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1,605,696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1,525,234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1,804,176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1,745,057</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right"/>
        <w:rPr/>
      </w:pPr>
      <w:r>
        <w:rPr/>
        <w:drawing>
          <wp:inline distT="0" distB="0" distL="0" distR="0">
            <wp:extent cx="1562100" cy="266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62100" cy="266700"/>
                    </a:xfrm>
                    <a:prstGeom prst="rect">
                      <a:avLst/>
                    </a:prstGeom>
                  </pic:spPr>
                </pic:pic>
              </a:graphicData>
            </a:graphic>
          </wp:inline>
        </w:drawing>
      </w:r>
    </w:p>
    <w:p>
      <w:pPr>
        <w:pStyle w:val="TextBody"/>
        <w:bidi w:val="0"/>
        <w:jc w:val="center"/>
        <w:rPr>
          <w:rFonts w:ascii="Times New Roman" w:hAnsi="Times New Roman"/>
          <w:b/>
          <w:color w:val="000000"/>
          <w:sz w:val="22"/>
        </w:rPr>
      </w:pPr>
      <w:r>
        <w:rPr>
          <w:rFonts w:ascii="Times New Roman" w:hAnsi="Times New Roman"/>
          <w:b/>
          <w:color w:val="000000"/>
          <w:sz w:val="22"/>
        </w:rPr>
        <w:t>ServiceTitan,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Cash Flows</w:t>
      </w:r>
    </w:p>
    <w:p>
      <w:pPr>
        <w:pStyle w:val="TextBody"/>
        <w:bidi w:val="0"/>
        <w:jc w:val="center"/>
        <w:rPr>
          <w:rFonts w:ascii="Times New Roman" w:hAnsi="Times New Roman"/>
          <w:b/>
          <w:color w:val="000000"/>
          <w:sz w:val="22"/>
        </w:rPr>
      </w:pPr>
      <w:r>
        <w:rPr>
          <w:rFonts w:ascii="Times New Roman" w:hAnsi="Times New Roman"/>
          <w:b/>
          <w:color w:val="000000"/>
          <w:sz w:val="22"/>
        </w:rPr>
        <w:t>(in thousands)</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52"/>
        <w:gridCol w:w="946"/>
        <w:gridCol w:w="197"/>
        <w:gridCol w:w="694"/>
        <w:gridCol w:w="166"/>
        <w:gridCol w:w="146"/>
        <w:gridCol w:w="197"/>
        <w:gridCol w:w="694"/>
        <w:gridCol w:w="966"/>
        <w:gridCol w:w="946"/>
        <w:gridCol w:w="196"/>
        <w:gridCol w:w="691"/>
        <w:gridCol w:w="166"/>
        <w:gridCol w:w="146"/>
        <w:gridCol w:w="196"/>
        <w:gridCol w:w="691"/>
        <w:gridCol w:w="1015"/>
      </w:tblGrid>
      <w:tr>
        <w:trPr/>
        <w:tc>
          <w:tcPr>
            <w:tcW w:w="215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provided by operating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(32,225</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(78,589</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provided by operating</w:t>
              <w:br/>
              <w:t>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 expense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20,035</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39,990</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deferred contract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3,604</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6,940</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operating lease expense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1,406</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2,758</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49,307</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93,056</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impairment and disposal of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8,260</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1,325</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credit losses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5,267</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 net of effect of business acquisition: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Accounts receivable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(7,422</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(12,692</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Prepaid expenses and other current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(10,217</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(8,546</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Deferred contract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(10,164</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Contract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(2,185</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(3,526</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Other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Accounts payable and other accrued expenses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2,933</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Accrued personnel-related expenses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18,959</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(21,673</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Operating lease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(3,013</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(6,166</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Other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3,953</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5,190</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Deferred revenue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provided by operating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40,340</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25,770</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Capitalized internal-use software</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(4,930</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(11,402</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property and equipment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(2,402</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Deposits for property and equipment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(6,040</w:t>
            </w:r>
          </w:p>
        </w:tc>
        <w:tc>
          <w:tcPr>
            <w:tcW w:w="9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(13,804</w:t>
            </w:r>
          </w:p>
        </w:tc>
        <w:tc>
          <w:tcPr>
            <w:tcW w:w="10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provided by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17,255</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18,436</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debt arrangements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deferred initial public offering costs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provided by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16,920</w:t>
            </w:r>
          </w:p>
        </w:tc>
        <w:tc>
          <w:tcPr>
            <w:tcW w:w="9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17,300</w:t>
            </w:r>
          </w:p>
        </w:tc>
        <w:tc>
          <w:tcPr>
            <w:tcW w:w="1015"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8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change in cash, cash equivalents, and restricted cash</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51,220</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29,266</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Beginning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420,892</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442,846</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479,954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472,112</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479,954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472,112</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right"/>
        <w:rPr/>
      </w:pPr>
      <w:r>
        <w:rPr/>
        <w:drawing>
          <wp:inline distT="0" distB="0" distL="0" distR="0">
            <wp:extent cx="1562100" cy="266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62100" cy="266700"/>
                    </a:xfrm>
                    <a:prstGeom prst="rect">
                      <a:avLst/>
                    </a:prstGeom>
                  </pic:spPr>
                </pic:pic>
              </a:graphicData>
            </a:graphic>
          </wp:inline>
        </w:drawing>
      </w:r>
    </w:p>
    <w:p>
      <w:pPr>
        <w:pStyle w:val="TextBody"/>
        <w:bidi w:val="0"/>
        <w:jc w:val="left"/>
        <w:rPr>
          <w:rFonts w:ascii="Times New Roman" w:hAnsi="Times New Roman"/>
          <w:b/>
          <w:color w:val="000000"/>
          <w:sz w:val="22"/>
        </w:rPr>
      </w:pPr>
      <w:r>
        <w:rPr>
          <w:rFonts w:ascii="Times New Roman" w:hAnsi="Times New Roman"/>
          <w:b/>
          <w:color w:val="000000"/>
          <w:sz w:val="22"/>
        </w:rPr>
        <w:t>Statement Regarding Use of Non-GAAP Financial Measures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 addition to our results prepared in accordance with GAAP, we believe non-GAAP gross profit and non-GAAP gross margin, in total and for platform, and professional services and other, non-GAAP sales and marketing expense, non-GAAP research and development expense, non-GAAP general and administrative expense, non-GAAP income from operations, non-GAAP operating margin, non-GAAP net income and non-GAAP earnings per share (“EPS”) are useful in evaluating our operating performance.</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These measures, however, have certain limitations in that they reflect the exercise of judgment by our management about which expenses are excluded or included and do not include the impact of certain expenses that are reflected in our consolidated statement of operations that are necessary to run our business. These non-GAAP financial measures should be considered in addition to, not as a substitute for or in isolation from, our financial results determined in accordance with GAAP. We caution investors that amounts presented in accordance with our definition of non-GAAP gross profit, non-GAAP gross margin, non-GAAP sales and marketing expense, non-GAAP research and development expense, non-GAAP general and administrative expense, non-GAAP income from operations, non-GAAP operating margin, non-GAAP net income and non-GAAP EPS may not be comparable to similar measures disclosed by other companies because not all companies and analysts calculate these measures in the same manner.</w:t>
      </w:r>
    </w:p>
    <w:p>
      <w:pPr>
        <w:pStyle w:val="TextBody"/>
        <w:bidi w:val="0"/>
        <w:jc w:val="both"/>
        <w:rPr>
          <w:rFonts w:ascii="Times New Roman" w:hAnsi="Times New Roman"/>
          <w:color w:val="000000"/>
          <w:sz w:val="22"/>
        </w:rPr>
      </w:pPr>
      <w:r>
        <w:rPr>
          <w:rFonts w:ascii="Times New Roman" w:hAnsi="Times New Roman"/>
          <w:color w:val="000000"/>
          <w:sz w:val="22"/>
        </w:rPr>
        <w:t xml:space="preserve">For the reasons set forth below, we believe that excluding the following items provides information that is helpful in understanding our operating results, evaluating our future prospects, comparing our financial results across accounting periods, and comparing our financial results to our peers, many of which provide similar non-GAAP financial measures. </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2"/>
        </w:rPr>
      </w:pPr>
      <w:r>
        <w:rPr>
          <w:rFonts w:ascii="Times New Roman" w:hAnsi="Times New Roman"/>
          <w:b/>
          <w:i/>
          <w:color w:val="000000"/>
          <w:sz w:val="22"/>
        </w:rPr>
        <w:t>Stock-based compensation expense and related employer payroll taxes.</w:t>
      </w:r>
      <w:r>
        <w:rPr>
          <w:rFonts w:ascii="Times New Roman" w:hAnsi="Times New Roman"/>
          <w:color w:val="000000"/>
          <w:sz w:val="22"/>
        </w:rPr>
        <w:t xml:space="preserve"> We exclude stock-based compensation expense, including the performance-based RSUs granted to our Co-Founders, and related employer payroll taxes to allow investors to make more meaningful comparisons of our performance between periods and to facilitate a comparison of our performance to those of other peer companies. Stock-based compensation may vary between periods due to various factors unrelated to our core performance, including as a result of the assumptions used in the valuation methodologies, timing and amount of grants and other factors. We exclude employer payroll taxes because the amounts vary based on timing and settlement or vesting of awards unrelated to our core operating performance. Moreover, stock-based compensation expense is a non-cash expense that we exclude from our internal management reporting processes and when assessing our actual performance, budgeting, planning, and forecasting future periods.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2"/>
        </w:rPr>
      </w:pPr>
      <w:r>
        <w:rPr>
          <w:rFonts w:ascii="Times New Roman" w:hAnsi="Times New Roman"/>
          <w:b/>
          <w:i/>
          <w:color w:val="000000"/>
          <w:sz w:val="22"/>
        </w:rPr>
        <w:t>Amortization of acquired intangible assets.</w:t>
      </w:r>
      <w:r>
        <w:rPr>
          <w:rFonts w:ascii="Times New Roman" w:hAnsi="Times New Roman"/>
          <w:color w:val="000000"/>
          <w:sz w:val="22"/>
        </w:rPr>
        <w:t xml:space="preserve"> We incur amortization expense for acquired intangible assets in connection with acquisitions of certain businesses and technologies. Amortization of acquired intangible assets is a non-cash expense that is significantly affected by the timing and size of acquisitions, and the inherent subjective nature of purchase price allocations. Because these costs have already been incurred, we exclude the amortization expense from our internal management reporting processes. We exclude these charges when assessing our actual performance and when budgeting, planning, and forecasting future periods. Investors should note that the use of intangible assets contributed to our revenues earned during the periods presented and will contribute to our future period revenues as well.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2"/>
        </w:rPr>
      </w:pPr>
      <w:r>
        <w:rPr>
          <w:rFonts w:ascii="Times New Roman" w:hAnsi="Times New Roman"/>
          <w:b/>
          <w:i/>
          <w:color w:val="000000"/>
          <w:sz w:val="22"/>
        </w:rPr>
        <w:t>Loss on operating lease assets.</w:t>
      </w:r>
      <w:r>
        <w:rPr>
          <w:rFonts w:ascii="Times New Roman" w:hAnsi="Times New Roman"/>
          <w:color w:val="000000"/>
          <w:sz w:val="22"/>
        </w:rPr>
        <w:t xml:space="preserve"> We have incurred impairments on certain right-of-use assets and other long-lived assets. We believe that it is useful to exclude these charges when assessing the level of various operating expenses and resource allocations when budgeting, planning and forecasting future periods. In addition, we believe excluding such costs enhances the comparability between periods.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2"/>
        </w:rPr>
      </w:pPr>
      <w:r>
        <w:rPr>
          <w:rFonts w:ascii="Times New Roman" w:hAnsi="Times New Roman"/>
          <w:b/>
          <w:i/>
          <w:color w:val="000000"/>
          <w:sz w:val="22"/>
        </w:rPr>
        <w:t>Acquisition-related items.</w:t>
      </w:r>
      <w:r>
        <w:rPr>
          <w:rFonts w:ascii="Times New Roman" w:hAnsi="Times New Roman"/>
          <w:color w:val="000000"/>
          <w:sz w:val="22"/>
        </w:rPr>
        <w:t xml:space="preserve"> From time to time, we may incur costs related to acquisitions, including legal, third-party valuation and due diligence, insurance costs, and one-time retention bonuses for employees of acquired companies. In addition, we periodically record the change to the fair value of contingent consideration related to past acquisitions. When applicable, we exclude these items when assessing our actual performance and when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right"/>
        <w:rPr/>
      </w:pPr>
      <w:r>
        <w:rPr/>
        <w:drawing>
          <wp:inline distT="0" distB="0" distL="0" distR="0">
            <wp:extent cx="1562100" cy="266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562100" cy="266700"/>
                    </a:xfrm>
                    <a:prstGeom prst="rect">
                      <a:avLst/>
                    </a:prstGeom>
                  </pic:spPr>
                </pic:pic>
              </a:graphicData>
            </a:graphic>
          </wp:inline>
        </w:drawing>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budgeting, planning and forecasting future periods. We believe excluding these items allows investors to make meaningful comparisons between our core results of operations and those of other peer companies.</w:t>
      </w:r>
    </w:p>
    <w:p>
      <w:pPr>
        <w:pStyle w:val="TextBody"/>
        <w:bidi w:val="0"/>
        <w:jc w:val="both"/>
        <w:rPr/>
      </w:pPr>
      <w:r>
        <w:rPr/>
        <w:t> </w:t>
      </w:r>
    </w:p>
    <w:p>
      <w:pPr>
        <w:pStyle w:val="TextBody"/>
        <w:bidi w:val="0"/>
        <w:spacing w:before="160" w:after="283"/>
        <w:jc w:val="both"/>
        <w:rPr>
          <w:rFonts w:ascii="Times New Roman" w:hAnsi="Times New Roman"/>
          <w:sz w:val="21"/>
        </w:rPr>
      </w:pPr>
      <w:r>
        <w:rPr>
          <w:rFonts w:ascii="Times New Roman" w:hAnsi="Times New Roman"/>
          <w:b/>
          <w:i/>
          <w:color w:val="000000"/>
          <w:sz w:val="21"/>
        </w:rPr>
        <w:t>Change in Non-GAAP Income Tax Rate Presentation</w:t>
      </w:r>
      <w:r>
        <w:rPr>
          <w:rFonts w:ascii="Times New Roman" w:hAnsi="Times New Roman"/>
          <w:color w:val="000000"/>
          <w:sz w:val="21"/>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Effective February 1, 2026, the beginning of our first quarter of fiscal 2027, we adopted a fixed long-term projected non-GAAP tax rate in order to provide better consistency across interim reporting periods. When projecting the long-term non-GAAP tax rate, we utilize a financial projection that excludes the direct impact of the items excluded from GAAP income in calculating our non-GAAP income. The projected rate considers other factors such as our current operating structure, existing tax positions in various jurisdictions, and key legislation in major jurisdictions where we operate. For fiscal 2027, we determined the projected non-GAAP tax rate to be 18%, which reflects currently available information, as well as other factors and assumptions that may change over time. We will periodically re-evaluate this tax rate, as necessary, for significant events, relevant tax law changes, material changes in the forecasted geographic earnings mix, and any significant acquisitions.</w:t>
      </w:r>
    </w:p>
    <w:p>
      <w:pPr>
        <w:pStyle w:val="TextBody"/>
        <w:bidi w:val="0"/>
        <w:spacing w:before="160" w:after="283"/>
        <w:jc w:val="both"/>
        <w:rPr>
          <w:rFonts w:ascii="Times New Roman" w:hAnsi="Times New Roman"/>
          <w:b/>
          <w:i/>
          <w:color w:val="000000"/>
          <w:sz w:val="21"/>
        </w:rPr>
      </w:pPr>
      <w:r>
        <w:rPr>
          <w:rFonts w:ascii="Times New Roman" w:hAnsi="Times New Roman"/>
          <w:b/>
          <w:i/>
          <w:color w:val="000000"/>
          <w:sz w:val="21"/>
        </w:rPr>
        <w:t>Non-GAAP EPS</w:t>
      </w:r>
    </w:p>
    <w:p>
      <w:pPr>
        <w:pStyle w:val="TextBody"/>
        <w:bidi w:val="0"/>
        <w:spacing w:before="120" w:after="283"/>
        <w:jc w:val="both"/>
        <w:rPr>
          <w:rFonts w:ascii="Times New Roman" w:hAnsi="Times New Roman"/>
          <w:sz w:val="20"/>
        </w:rPr>
      </w:pPr>
      <w:r>
        <w:rPr>
          <w:rFonts w:ascii="Times New Roman" w:hAnsi="Times New Roman"/>
          <w:color w:val="000000"/>
          <w:sz w:val="22"/>
        </w:rPr>
        <w:t>We define non-GAAP basic EPS as non-GAAP net income divided by weighted-average shares outstanding used in computing net loss per share attributable to common stockholders, basic. We define non-GAAP diluted EPS as non-GAAP net income divided by weighted-average shares outstanding giving effect to the weighted average of all potentially dilutive common stock equivalents outstanding for the period including options to purchase common stock, restricted stock units, and acquisition indemnity shares withheld. The dilutive effect of outstanding awards is reflected in non-GAAP diluted earnings per share by application of the treasury method.</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b/>
          <w:i/>
          <w:color w:val="000000"/>
          <w:sz w:val="21"/>
        </w:rPr>
      </w:pPr>
      <w:r>
        <w:rPr>
          <w:rFonts w:ascii="Times New Roman" w:hAnsi="Times New Roman"/>
          <w:b/>
          <w:i/>
          <w:color w:val="000000"/>
          <w:sz w:val="21"/>
        </w:rPr>
        <w:t>Free Cash Flow</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We define free cash flow, a non-GAAP measure, as GAAP net cash provided by operating activities less cash used for investing activities for capitalized internal use software and less cash paid for purchases of, and deposits for, property and equipment. We believe that free cash flow is a meaningful indicator of our sources of liquidity and capital requirements and provides information to management and investors that is useful in evaluating the cash flow trends of our business. Once our business needs and obligations are met, cash can be used to maintain a strong balance sheet and invest in future growth. Free cash flow has limitations as an analytical tool and should not be considered in isolation or as a substitute for analysis of our results as reported under GAAP. Other companies may calculate free cash flow or similarly titled non-GAAP measures differently, which could reduce the usefulness of free cash flow as a tool for comparison. In addition, free cash flow does not reflect mandatory debt service and other non-discretionary expenditures that are required to be made under contractual commitments and does not represent the total increase or decrease in our cash balance for any given period.</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right"/>
        <w:rPr/>
      </w:pPr>
      <w:r>
        <w:rPr/>
        <w:drawing>
          <wp:inline distT="0" distB="0" distL="0" distR="0">
            <wp:extent cx="1562100" cy="2667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62100" cy="266700"/>
                    </a:xfrm>
                    <a:prstGeom prst="rect">
                      <a:avLst/>
                    </a:prstGeom>
                  </pic:spPr>
                </pic:pic>
              </a:graphicData>
            </a:graphic>
          </wp:inline>
        </w:drawing>
      </w:r>
    </w:p>
    <w:p>
      <w:pPr>
        <w:pStyle w:val="TextBody"/>
        <w:bidi w:val="0"/>
        <w:jc w:val="center"/>
        <w:rPr>
          <w:rFonts w:ascii="Times New Roman" w:hAnsi="Times New Roman"/>
          <w:b/>
          <w:color w:val="000000"/>
          <w:sz w:val="22"/>
        </w:rPr>
      </w:pPr>
      <w:r>
        <w:rPr>
          <w:rFonts w:ascii="Times New Roman" w:hAnsi="Times New Roman"/>
          <w:b/>
          <w:color w:val="000000"/>
          <w:sz w:val="22"/>
        </w:rPr>
        <w:t>ServiceTitan, Inc.</w:t>
      </w:r>
    </w:p>
    <w:p>
      <w:pPr>
        <w:pStyle w:val="TextBody"/>
        <w:bidi w:val="0"/>
        <w:jc w:val="center"/>
        <w:rPr>
          <w:rFonts w:ascii="Times New Roman" w:hAnsi="Times New Roman"/>
          <w:b/>
          <w:color w:val="000000"/>
          <w:sz w:val="22"/>
        </w:rPr>
      </w:pPr>
      <w:r>
        <w:rPr>
          <w:rFonts w:ascii="Times New Roman" w:hAnsi="Times New Roman"/>
          <w:b/>
          <w:color w:val="000000"/>
          <w:sz w:val="22"/>
        </w:rPr>
        <w:t>GAAP to Non-GAAP Reconciliations</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spacing w:before="360" w:after="283"/>
        <w:jc w:val="left"/>
        <w:rPr>
          <w:rFonts w:ascii="Times New Roman" w:hAnsi="Times New Roman"/>
          <w:b/>
          <w:i/>
          <w:color w:val="000000"/>
          <w:sz w:val="22"/>
        </w:rPr>
      </w:pPr>
      <w:r>
        <w:rPr>
          <w:rFonts w:ascii="Times New Roman" w:hAnsi="Times New Roman"/>
          <w:b/>
          <w:i/>
          <w:color w:val="000000"/>
          <w:sz w:val="22"/>
        </w:rPr>
        <w:t>Non-GAAP Gross Profit and Non-GAAP Gross Margin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1"/>
        <w:gridCol w:w="146"/>
        <w:gridCol w:w="211"/>
        <w:gridCol w:w="781"/>
        <w:gridCol w:w="146"/>
        <w:gridCol w:w="146"/>
        <w:gridCol w:w="211"/>
        <w:gridCol w:w="781"/>
        <w:gridCol w:w="146"/>
        <w:gridCol w:w="146"/>
        <w:gridCol w:w="211"/>
        <w:gridCol w:w="736"/>
        <w:gridCol w:w="166"/>
        <w:gridCol w:w="146"/>
        <w:gridCol w:w="211"/>
        <w:gridCol w:w="631"/>
        <w:gridCol w:w="166"/>
        <w:gridCol w:w="146"/>
        <w:gridCol w:w="211"/>
        <w:gridCol w:w="781"/>
        <w:gridCol w:w="146"/>
        <w:gridCol w:w="146"/>
        <w:gridCol w:w="211"/>
        <w:gridCol w:w="781"/>
        <w:gridCol w:w="391"/>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Platform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Professional </w:t>
              <w:br/>
              <w:t>Services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2"/>
              </w:rPr>
            </w:pPr>
            <w:r>
              <w:rPr>
                <w:rFonts w:ascii="Times New Roman" w:hAnsi="Times New Roman"/>
                <w:i/>
                <w:color w:val="000000"/>
                <w:sz w:val="12"/>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w:t>
              <w:br/>
              <w: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230,620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187,752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218,445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180,064</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86"/>
        <w:gridCol w:w="146"/>
        <w:gridCol w:w="162"/>
        <w:gridCol w:w="518"/>
        <w:gridCol w:w="300"/>
        <w:gridCol w:w="162"/>
        <w:gridCol w:w="162"/>
        <w:gridCol w:w="518"/>
        <w:gridCol w:w="271"/>
        <w:gridCol w:w="146"/>
        <w:gridCol w:w="146"/>
        <w:gridCol w:w="631"/>
        <w:gridCol w:w="325"/>
        <w:gridCol w:w="146"/>
        <w:gridCol w:w="146"/>
        <w:gridCol w:w="526"/>
        <w:gridCol w:w="325"/>
        <w:gridCol w:w="146"/>
        <w:gridCol w:w="162"/>
        <w:gridCol w:w="518"/>
        <w:gridCol w:w="300"/>
        <w:gridCol w:w="162"/>
        <w:gridCol w:w="162"/>
        <w:gridCol w:w="518"/>
        <w:gridCol w:w="521"/>
      </w:tblGrid>
      <w:tr>
        <w:trPr/>
        <w:tc>
          <w:tcPr>
            <w:tcW w:w="3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Platform</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Professional </w:t>
              <w:br/>
              <w:t>Services and Other</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July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July 31,</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July 31,</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w:t>
              <w:br/>
              <w: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3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32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32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3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5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Totals may not foot due to rounding.</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306"/>
        <w:gridCol w:w="146"/>
        <w:gridCol w:w="211"/>
        <w:gridCol w:w="781"/>
        <w:gridCol w:w="146"/>
        <w:gridCol w:w="146"/>
        <w:gridCol w:w="211"/>
        <w:gridCol w:w="781"/>
        <w:gridCol w:w="146"/>
        <w:gridCol w:w="146"/>
        <w:gridCol w:w="211"/>
        <w:gridCol w:w="736"/>
        <w:gridCol w:w="166"/>
        <w:gridCol w:w="146"/>
        <w:gridCol w:w="211"/>
        <w:gridCol w:w="736"/>
        <w:gridCol w:w="166"/>
        <w:gridCol w:w="146"/>
        <w:gridCol w:w="211"/>
        <w:gridCol w:w="781"/>
        <w:gridCol w:w="146"/>
        <w:gridCol w:w="146"/>
        <w:gridCol w:w="211"/>
        <w:gridCol w:w="781"/>
        <w:gridCol w:w="391"/>
      </w:tblGrid>
      <w:tr>
        <w:trPr/>
        <w:tc>
          <w:tcPr>
            <w:tcW w:w="2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Platform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Professional </w:t>
              <w:br/>
              <w:t>Services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2"/>
              </w:rPr>
            </w:pPr>
            <w:r>
              <w:rPr>
                <w:rFonts w:ascii="Times New Roman" w:hAnsi="Times New Roman"/>
                <w:i/>
                <w:color w:val="000000"/>
                <w:sz w:val="12"/>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w:t>
              <w:br/>
              <w: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right"/>
        <w:rPr/>
      </w:pPr>
      <w:r>
        <w:rPr/>
        <w:drawing>
          <wp:inline distT="0" distB="0" distL="0" distR="0">
            <wp:extent cx="1562100" cy="266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62100" cy="2667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3236"/>
        <w:gridCol w:w="146"/>
        <w:gridCol w:w="149"/>
        <w:gridCol w:w="480"/>
        <w:gridCol w:w="279"/>
        <w:gridCol w:w="149"/>
        <w:gridCol w:w="149"/>
        <w:gridCol w:w="480"/>
        <w:gridCol w:w="271"/>
        <w:gridCol w:w="146"/>
        <w:gridCol w:w="146"/>
        <w:gridCol w:w="631"/>
        <w:gridCol w:w="330"/>
        <w:gridCol w:w="146"/>
        <w:gridCol w:w="146"/>
        <w:gridCol w:w="631"/>
        <w:gridCol w:w="330"/>
        <w:gridCol w:w="146"/>
        <w:gridCol w:w="149"/>
        <w:gridCol w:w="480"/>
        <w:gridCol w:w="279"/>
        <w:gridCol w:w="149"/>
        <w:gridCol w:w="149"/>
        <w:gridCol w:w="480"/>
        <w:gridCol w:w="528"/>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Platform</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Professional </w:t>
              <w:br/>
              <w:t>Services and Other</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July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July 31,</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July 31,</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5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w:t>
              <w:br/>
              <w: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5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Totals may not foot due to rounding.</w:t>
      </w:r>
    </w:p>
    <w:p>
      <w:pPr>
        <w:pStyle w:val="TextBody"/>
        <w:bidi w:val="0"/>
        <w:spacing w:before="360" w:after="283"/>
        <w:jc w:val="left"/>
        <w:rPr>
          <w:rFonts w:ascii="Times New Roman" w:hAnsi="Times New Roman"/>
          <w:b/>
          <w:i/>
          <w:color w:val="000000"/>
          <w:sz w:val="22"/>
        </w:rPr>
      </w:pPr>
      <w:r>
        <w:rPr>
          <w:rFonts w:ascii="Times New Roman" w:hAnsi="Times New Roman"/>
          <w:b/>
          <w:i/>
          <w:color w:val="000000"/>
          <w:sz w:val="22"/>
        </w:rPr>
        <w:t>Non-GAAP Sales and Marketing Expense</w:t>
      </w:r>
    </w:p>
    <w:p>
      <w:pPr>
        <w:pStyle w:val="TextBody"/>
        <w:bidi w:val="0"/>
        <w:jc w:val="left"/>
        <w:rPr/>
      </w:pPr>
      <w:r>
        <w:rPr/>
        <w:t> </w:t>
      </w:r>
    </w:p>
    <w:tbl>
      <w:tblPr>
        <w:tblW w:w="9154" w:type="dxa"/>
        <w:jc w:val="left"/>
        <w:tblInd w:w="0" w:type="dxa"/>
        <w:tblLayout w:type="fixed"/>
        <w:tblCellMar>
          <w:top w:w="28" w:type="dxa"/>
          <w:left w:w="28" w:type="dxa"/>
          <w:bottom w:w="28" w:type="dxa"/>
          <w:right w:w="28" w:type="dxa"/>
        </w:tblCellMar>
      </w:tblPr>
      <w:tblGrid>
        <w:gridCol w:w="3756"/>
        <w:gridCol w:w="146"/>
        <w:gridCol w:w="226"/>
        <w:gridCol w:w="724"/>
        <w:gridCol w:w="177"/>
        <w:gridCol w:w="156"/>
        <w:gridCol w:w="226"/>
        <w:gridCol w:w="724"/>
        <w:gridCol w:w="166"/>
        <w:gridCol w:w="146"/>
        <w:gridCol w:w="211"/>
        <w:gridCol w:w="781"/>
        <w:gridCol w:w="166"/>
        <w:gridCol w:w="146"/>
        <w:gridCol w:w="211"/>
        <w:gridCol w:w="781"/>
        <w:gridCol w:w="41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76,973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64,334</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2"/>
        </w:rPr>
      </w:pPr>
      <w:r>
        <w:rPr>
          <w:rFonts w:ascii="Times New Roman" w:hAnsi="Times New Roman"/>
          <w:b/>
          <w:i/>
          <w:color w:val="000000"/>
          <w:sz w:val="22"/>
        </w:rPr>
        <w:t>Non-GAAP Research and Development Expense</w:t>
      </w:r>
    </w:p>
    <w:p>
      <w:pPr>
        <w:pStyle w:val="TextBody"/>
        <w:bidi w:val="0"/>
        <w:jc w:val="left"/>
        <w:rPr/>
      </w:pPr>
      <w:r>
        <w:rPr/>
        <w:t> </w:t>
      </w:r>
    </w:p>
    <w:tbl>
      <w:tblPr>
        <w:tblW w:w="9317" w:type="dxa"/>
        <w:jc w:val="left"/>
        <w:tblInd w:w="0" w:type="dxa"/>
        <w:tblLayout w:type="fixed"/>
        <w:tblCellMar>
          <w:top w:w="28" w:type="dxa"/>
          <w:left w:w="28" w:type="dxa"/>
          <w:bottom w:w="28" w:type="dxa"/>
          <w:right w:w="28" w:type="dxa"/>
        </w:tblCellMar>
      </w:tblPr>
      <w:tblGrid>
        <w:gridCol w:w="3901"/>
        <w:gridCol w:w="146"/>
        <w:gridCol w:w="211"/>
        <w:gridCol w:w="781"/>
        <w:gridCol w:w="166"/>
        <w:gridCol w:w="146"/>
        <w:gridCol w:w="211"/>
        <w:gridCol w:w="736"/>
        <w:gridCol w:w="166"/>
        <w:gridCol w:w="146"/>
        <w:gridCol w:w="211"/>
        <w:gridCol w:w="781"/>
        <w:gridCol w:w="166"/>
        <w:gridCol w:w="146"/>
        <w:gridCol w:w="211"/>
        <w:gridCol w:w="781"/>
        <w:gridCol w:w="4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115,560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2"/>
        </w:rPr>
      </w:pPr>
      <w:r>
        <w:rPr>
          <w:rFonts w:ascii="Times New Roman" w:hAnsi="Times New Roman"/>
          <w:b/>
          <w:i/>
          <w:color w:val="000000"/>
          <w:sz w:val="22"/>
        </w:rPr>
        <w:t>Non-GAAP General and Administrative Expense</w:t>
      </w:r>
    </w:p>
    <w:p>
      <w:pPr>
        <w:pStyle w:val="TextBody"/>
        <w:bidi w:val="0"/>
        <w:jc w:val="left"/>
        <w:rPr/>
      </w:pPr>
      <w:r>
        <w:rPr/>
        <w:t> </w:t>
      </w:r>
    </w:p>
    <w:tbl>
      <w:tblPr>
        <w:tblW w:w="9344" w:type="dxa"/>
        <w:jc w:val="left"/>
        <w:tblInd w:w="0" w:type="dxa"/>
        <w:tblLayout w:type="fixed"/>
        <w:tblCellMar>
          <w:top w:w="28" w:type="dxa"/>
          <w:left w:w="28" w:type="dxa"/>
          <w:bottom w:w="28" w:type="dxa"/>
          <w:right w:w="28" w:type="dxa"/>
        </w:tblCellMar>
      </w:tblPr>
      <w:tblGrid>
        <w:gridCol w:w="3946"/>
        <w:gridCol w:w="146"/>
        <w:gridCol w:w="213"/>
        <w:gridCol w:w="746"/>
        <w:gridCol w:w="168"/>
        <w:gridCol w:w="147"/>
        <w:gridCol w:w="213"/>
        <w:gridCol w:w="746"/>
        <w:gridCol w:w="166"/>
        <w:gridCol w:w="146"/>
        <w:gridCol w:w="211"/>
        <w:gridCol w:w="781"/>
        <w:gridCol w:w="166"/>
        <w:gridCol w:w="146"/>
        <w:gridCol w:w="211"/>
        <w:gridCol w:w="781"/>
        <w:gridCol w:w="4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 -</w:t>
              <w:br/>
              <w:t>   Co-Founders performance based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33,518</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right"/>
        <w:rPr/>
      </w:pPr>
      <w:r>
        <w:rPr/>
        <w:drawing>
          <wp:inline distT="0" distB="0" distL="0" distR="0">
            <wp:extent cx="1562100" cy="2667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562100" cy="266700"/>
                    </a:xfrm>
                    <a:prstGeom prst="rect">
                      <a:avLst/>
                    </a:prstGeom>
                  </pic:spPr>
                </pic:pic>
              </a:graphicData>
            </a:graphic>
          </wp:inline>
        </w:drawing>
      </w:r>
    </w:p>
    <w:p>
      <w:pPr>
        <w:pStyle w:val="TextBody"/>
        <w:bidi w:val="0"/>
        <w:spacing w:before="360" w:after="283"/>
        <w:jc w:val="left"/>
        <w:rPr>
          <w:rFonts w:ascii="Times New Roman" w:hAnsi="Times New Roman"/>
          <w:b/>
          <w:i/>
          <w:color w:val="000000"/>
          <w:sz w:val="22"/>
        </w:rPr>
      </w:pPr>
      <w:r>
        <w:rPr>
          <w:rFonts w:ascii="Times New Roman" w:hAnsi="Times New Roman"/>
          <w:b/>
          <w:i/>
          <w:color w:val="000000"/>
          <w:sz w:val="22"/>
        </w:rPr>
        <w:t>Non-GAAP Income from Operations and Non-GAAP Operating Margin</w:t>
      </w:r>
    </w:p>
    <w:p>
      <w:pPr>
        <w:pStyle w:val="TextBody"/>
        <w:bidi w:val="0"/>
        <w:jc w:val="left"/>
        <w:rPr/>
      </w:pPr>
      <w:r>
        <w:rPr/>
        <w:t> </w:t>
      </w:r>
    </w:p>
    <w:tbl>
      <w:tblPr>
        <w:tblW w:w="9064" w:type="dxa"/>
        <w:jc w:val="left"/>
        <w:tblInd w:w="0" w:type="dxa"/>
        <w:tblLayout w:type="fixed"/>
        <w:tblCellMar>
          <w:top w:w="28" w:type="dxa"/>
          <w:left w:w="28" w:type="dxa"/>
          <w:bottom w:w="28" w:type="dxa"/>
          <w:right w:w="28" w:type="dxa"/>
        </w:tblCellMar>
      </w:tblPr>
      <w:tblGrid>
        <w:gridCol w:w="3756"/>
        <w:gridCol w:w="146"/>
        <w:gridCol w:w="213"/>
        <w:gridCol w:w="746"/>
        <w:gridCol w:w="168"/>
        <w:gridCol w:w="147"/>
        <w:gridCol w:w="213"/>
        <w:gridCol w:w="746"/>
        <w:gridCol w:w="166"/>
        <w:gridCol w:w="146"/>
        <w:gridCol w:w="211"/>
        <w:gridCol w:w="736"/>
        <w:gridCol w:w="166"/>
        <w:gridCol w:w="146"/>
        <w:gridCol w:w="211"/>
        <w:gridCol w:w="736"/>
        <w:gridCol w:w="41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 and</w:t>
              <w:br/>
              <w:t>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 -</w:t>
              <w:br/>
              <w:t>   Co-Founders performance based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44,424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9227" w:type="dxa"/>
        <w:jc w:val="left"/>
        <w:tblInd w:w="0" w:type="dxa"/>
        <w:tblLayout w:type="fixed"/>
        <w:tblCellMar>
          <w:top w:w="28" w:type="dxa"/>
          <w:left w:w="28" w:type="dxa"/>
          <w:bottom w:w="28" w:type="dxa"/>
          <w:right w:w="28" w:type="dxa"/>
        </w:tblCellMar>
      </w:tblPr>
      <w:tblGrid>
        <w:gridCol w:w="3756"/>
        <w:gridCol w:w="146"/>
        <w:gridCol w:w="185"/>
        <w:gridCol w:w="591"/>
        <w:gridCol w:w="420"/>
        <w:gridCol w:w="185"/>
        <w:gridCol w:w="185"/>
        <w:gridCol w:w="667"/>
        <w:gridCol w:w="331"/>
        <w:gridCol w:w="146"/>
        <w:gridCol w:w="169"/>
        <w:gridCol w:w="540"/>
        <w:gridCol w:w="383"/>
        <w:gridCol w:w="169"/>
        <w:gridCol w:w="169"/>
        <w:gridCol w:w="609"/>
        <w:gridCol w:w="576"/>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 and</w:t>
              <w:br/>
              <w:t>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 -</w:t>
              <w:br/>
              <w:t>   Co-Founders performance based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Totals may not foot due to rounding.</w:t>
      </w:r>
    </w:p>
    <w:p>
      <w:pPr>
        <w:pStyle w:val="TextBody"/>
        <w:bidi w:val="0"/>
        <w:spacing w:before="360" w:after="283"/>
        <w:jc w:val="left"/>
        <w:rPr>
          <w:rFonts w:ascii="Times New Roman" w:hAnsi="Times New Roman"/>
          <w:b/>
          <w:i/>
          <w:color w:val="000000"/>
          <w:sz w:val="22"/>
        </w:rPr>
      </w:pPr>
      <w:r>
        <w:rPr>
          <w:rFonts w:ascii="Times New Roman" w:hAnsi="Times New Roman"/>
          <w:b/>
          <w:i/>
          <w:color w:val="000000"/>
          <w:sz w:val="22"/>
        </w:rPr>
        <w:t>Non-GAAP Net Income</w:t>
      </w:r>
    </w:p>
    <w:p>
      <w:pPr>
        <w:pStyle w:val="TextBody"/>
        <w:bidi w:val="0"/>
        <w:jc w:val="left"/>
        <w:rPr/>
      </w:pPr>
      <w:r>
        <w:rPr/>
        <w:t> </w:t>
      </w:r>
    </w:p>
    <w:tbl>
      <w:tblPr>
        <w:tblW w:w="9064" w:type="dxa"/>
        <w:jc w:val="left"/>
        <w:tblInd w:w="0" w:type="dxa"/>
        <w:tblLayout w:type="fixed"/>
        <w:tblCellMar>
          <w:top w:w="28" w:type="dxa"/>
          <w:left w:w="28" w:type="dxa"/>
          <w:bottom w:w="28" w:type="dxa"/>
          <w:right w:w="28" w:type="dxa"/>
        </w:tblCellMar>
      </w:tblPr>
      <w:tblGrid>
        <w:gridCol w:w="3756"/>
        <w:gridCol w:w="146"/>
        <w:gridCol w:w="213"/>
        <w:gridCol w:w="746"/>
        <w:gridCol w:w="168"/>
        <w:gridCol w:w="147"/>
        <w:gridCol w:w="213"/>
        <w:gridCol w:w="746"/>
        <w:gridCol w:w="166"/>
        <w:gridCol w:w="146"/>
        <w:gridCol w:w="211"/>
        <w:gridCol w:w="736"/>
        <w:gridCol w:w="166"/>
        <w:gridCol w:w="146"/>
        <w:gridCol w:w="211"/>
        <w:gridCol w:w="736"/>
        <w:gridCol w:w="41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 and</w:t>
              <w:br/>
              <w:t>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 -</w:t>
              <w:br/>
              <w:t>   Co-Founders performance based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9"/>
              </w:rPr>
            </w:pPr>
            <w:r>
              <w:rPr>
                <w:rFonts w:ascii="Times New Roman" w:hAnsi="Times New Roman"/>
                <w:color w:val="000000"/>
                <w:sz w:val="19"/>
              </w:rPr>
              <w:t>Income tax effects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lineRule="auto" w:line="360" w:before="240" w:after="283"/>
        <w:jc w:val="both"/>
        <w:rPr>
          <w:rFonts w:ascii="Times New Roman" w:hAnsi="Times New Roman"/>
          <w:sz w:val="9"/>
        </w:rPr>
      </w:pPr>
      <w:r>
        <w:rPr>
          <w:rFonts w:ascii="Times New Roman" w:hAnsi="Times New Roman"/>
          <w:color w:val="000000"/>
          <w:sz w:val="9"/>
        </w:rPr>
        <w:t xml:space="preserve">(4) </w:t>
      </w:r>
      <w:r>
        <w:rPr>
          <w:rFonts w:ascii="Times New Roman" w:hAnsi="Times New Roman"/>
          <w:color w:val="222222"/>
          <w:sz w:val="14"/>
        </w:rPr>
        <w:t>Effective February 1, 2026, we adopted a fixed long-term projected non-GAAP tax rate of 18%, which reflects currently available information, as well as other factors and assumptions that may change over time.</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right"/>
        <w:rPr/>
      </w:pPr>
      <w:r>
        <w:rPr/>
        <w:drawing>
          <wp:inline distT="0" distB="0" distL="0" distR="0">
            <wp:extent cx="1562100" cy="2667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562100" cy="266700"/>
                    </a:xfrm>
                    <a:prstGeom prst="rect">
                      <a:avLst/>
                    </a:prstGeom>
                  </pic:spPr>
                </pic:pic>
              </a:graphicData>
            </a:graphic>
          </wp:inline>
        </w:drawing>
      </w:r>
    </w:p>
    <w:p>
      <w:pPr>
        <w:pStyle w:val="TextBody"/>
        <w:bidi w:val="0"/>
        <w:spacing w:before="360" w:after="283"/>
        <w:jc w:val="left"/>
        <w:rPr>
          <w:rFonts w:ascii="Times New Roman" w:hAnsi="Times New Roman"/>
          <w:sz w:val="22"/>
        </w:rPr>
      </w:pPr>
      <w:r>
        <w:rPr>
          <w:rFonts w:ascii="Times New Roman" w:hAnsi="Times New Roman"/>
          <w:b/>
          <w:i/>
          <w:color w:val="000000"/>
          <w:sz w:val="22"/>
        </w:rPr>
        <w:t>Non-GAAP EPS</w:t>
      </w:r>
      <w:r>
        <w:rPr>
          <w:rFonts w:ascii="Times New Roman" w:hAnsi="Times New Roman"/>
          <w:color w:val="000000"/>
          <w:sz w:val="22"/>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39"/>
        <w:gridCol w:w="146"/>
        <w:gridCol w:w="211"/>
        <w:gridCol w:w="1141"/>
        <w:gridCol w:w="166"/>
        <w:gridCol w:w="146"/>
        <w:gridCol w:w="211"/>
        <w:gridCol w:w="1036"/>
        <w:gridCol w:w="166"/>
        <w:gridCol w:w="146"/>
        <w:gridCol w:w="211"/>
        <w:gridCol w:w="1036"/>
        <w:gridCol w:w="166"/>
        <w:gridCol w:w="146"/>
        <w:gridCol w:w="211"/>
        <w:gridCol w:w="1036"/>
        <w:gridCol w:w="391"/>
      </w:tblGrid>
      <w:tr>
        <w:trPr/>
        <w:tc>
          <w:tcPr>
            <w:tcW w:w="3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 except share and per share amounts)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common stockholders,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95,863,240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91,687,907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95,440,743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91,041,726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dilutive securities: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7,699,740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4,310,763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7,957,233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used in computing non-GAAP net income per share attributable to common stockholders,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100,204,276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99,387,647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99,751,506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98,998,959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 per share,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 per share,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360" w:after="283"/>
        <w:jc w:val="left"/>
        <w:rPr>
          <w:rFonts w:ascii="Times New Roman" w:hAnsi="Times New Roman"/>
          <w:b/>
          <w:i/>
          <w:color w:val="000000"/>
          <w:sz w:val="22"/>
        </w:rPr>
      </w:pPr>
      <w:r>
        <w:rPr>
          <w:rFonts w:ascii="Times New Roman" w:hAnsi="Times New Roman"/>
          <w:b/>
          <w:i/>
          <w:color w:val="000000"/>
          <w:sz w:val="22"/>
        </w:rPr>
        <w:t>Free Cash Flow</w:t>
      </w:r>
    </w:p>
    <w:p>
      <w:pPr>
        <w:pStyle w:val="TextBody"/>
        <w:bidi w:val="0"/>
        <w:jc w:val="left"/>
        <w:rPr/>
      </w:pPr>
      <w:r>
        <w:rPr/>
        <w:t> </w:t>
      </w:r>
    </w:p>
    <w:tbl>
      <w:tblPr>
        <w:tblW w:w="9299" w:type="dxa"/>
        <w:jc w:val="left"/>
        <w:tblInd w:w="0" w:type="dxa"/>
        <w:tblLayout w:type="fixed"/>
        <w:tblCellMar>
          <w:top w:w="28" w:type="dxa"/>
          <w:left w:w="28" w:type="dxa"/>
          <w:bottom w:w="28" w:type="dxa"/>
          <w:right w:w="28" w:type="dxa"/>
        </w:tblCellMar>
      </w:tblPr>
      <w:tblGrid>
        <w:gridCol w:w="3991"/>
        <w:gridCol w:w="146"/>
        <w:gridCol w:w="226"/>
        <w:gridCol w:w="724"/>
        <w:gridCol w:w="177"/>
        <w:gridCol w:w="156"/>
        <w:gridCol w:w="226"/>
        <w:gridCol w:w="724"/>
        <w:gridCol w:w="166"/>
        <w:gridCol w:w="146"/>
        <w:gridCol w:w="211"/>
        <w:gridCol w:w="736"/>
        <w:gridCol w:w="166"/>
        <w:gridCol w:w="146"/>
        <w:gridCol w:w="211"/>
        <w:gridCol w:w="736"/>
        <w:gridCol w:w="4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 for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50,455</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4990</Words>
  <Characters>27465</Characters>
  <CharactersWithSpaces>33332</CharactersWithSpaces>
  <Paragraphs>3560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