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tan-20260731.htm"/>
      <w:bookmarkStart w:id="1" w:name="ksttan20260731"/>
      <w:bookmarkEnd w:id="0"/>
      <w:bookmarkEnd w:id="1"/>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July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 to 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001-42434</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ServiceTitan,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611"/>
        <w:gridCol w:w="1246"/>
      </w:tblGrid>
      <w:tr>
        <w:trPr/>
        <w:tc>
          <w:tcPr>
            <w:tcW w:w="26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26-0331862</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800 N. Brand Blvd., Suite 100</w:t>
            </w:r>
          </w:p>
          <w:p>
            <w:pPr>
              <w:pStyle w:val="TableContents"/>
              <w:bidi w:val="0"/>
              <w:spacing w:before="0" w:after="283"/>
              <w:jc w:val="center"/>
              <w:rPr>
                <w:rFonts w:ascii="Times New Roman" w:hAnsi="Times New Roman"/>
                <w:sz w:val="20"/>
              </w:rPr>
            </w:pPr>
            <w:r>
              <w:rPr>
                <w:rFonts w:ascii="Times New Roman" w:hAnsi="Times New Roman"/>
                <w:b/>
                <w:color w:val="000000"/>
                <w:sz w:val="20"/>
              </w:rPr>
              <w:t>Glendale, California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91203</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(855) 899-0970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3811"/>
        <w:gridCol w:w="146"/>
        <w:gridCol w:w="826"/>
        <w:gridCol w:w="146"/>
        <w:gridCol w:w="331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TTAN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August 31, 2026, the registrant had 84,082,058 shares of Class A Common Stock, par value $0.001 per share, 12,385,845 shares of Class B Common Stock, par value $0.001 per share, and no shares of Class C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_re_fls">
              <w:r>
                <w:rPr>
                  <w:rStyle w:val="InternetLink"/>
                  <w:rFonts w:ascii="Times New Roman" w:hAnsi="Times New Roman"/>
                  <w:color w:val="0000FF"/>
                  <w:sz w:val="20"/>
                  <w:u w:val="single"/>
                </w:rPr>
                <w:t>Cautionary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risk_factors">
              <w:r>
                <w:rPr>
                  <w:rStyle w:val="InternetLink"/>
                  <w:rFonts w:ascii="Times New Roman" w:hAnsi="Times New Roman"/>
                  <w:color w:val="0000FF"/>
                  <w:sz w:val="20"/>
                  <w:u w:val="single"/>
                </w:rPr>
                <w:t>Summary of 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iv</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tockholders_deficit">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scription_of_busines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s_3_and_4">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bookmarkStart w:id="2" w:name="cautionary_note_re_fls"/>
      <w:bookmarkEnd w:id="2"/>
      <w:r>
        <w:rPr>
          <w:rFonts w:ascii="Times New Roman" w:hAnsi="Times New Roman"/>
          <w:b/>
          <w:color w:val="231F20"/>
          <w:sz w:val="20"/>
        </w:rPr>
        <w:t>CAUTIONARY NOTE REGARDING FORWARD-LOOKING STATEMENTS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This Quarterly Report on Form 10-Q for the three months ended July 31, 2026 (this “Quarterly Report”) contains “forward-looking statements” within the meaning of the federal securities laws, which statements involve substantial risks and uncertainties. We intend such forward-looking statements to be covered by the safe harbor provisions for forward-looking statements established by Section 27A of the Securities Act of 1933, as amended (the “Securities Act”), Section 21E of the Securities Exchange Act of 1934, as amended (the “Exchange Act”), and the Private Securities Litigation Reform Act of 1995. Forward-looking statements include all statements other than statements of historical fact contained in this Quarterly Report, and generally relate to future events or our future financial or operating performance. In some cases, you can identify forward-looking statements because they contain words such as “anticipate,” “believe,” “contemplate,” “continue,” “could,” “estimate,” “expect,” “intend,” “may,” “plan,” “potential” “predict,” “project,” “should,” “target,” or “will,” or the negative of these words or other similar terms or expressions that concern our expectations, strategy, plans or intentions. Forward-looking statements contained in this Quarterly Report include, but are not limited to, statements about: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future financial performance, including our expectations regarding our revenue, cost of revenue, operating expenses, revenue recognition, and our ability to achieve and maintain future profitability;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sufficiency of our cash, cash equivalents and investments to meet our liquidity needs;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demand for our platform or for similar solutions in general;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attract and retain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develop new products and bring them to market in a timely manner, and make enhancements to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incorporate artificial intelligence (“AI”) and machine learning solutions into our platform and operations, and our expectations regarding the development, adoption, and performance of such AI-powered solutions, including Max;</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compete with existing and new competitors in existing and new markets and offerings;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impact of changes in current laws or regulations, or implementation of new laws or regulations;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manage and insure risk associated with our business;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successfully acquire and integrate companies and assets;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new and emerging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develop and protect our brand;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and management of future growth;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concerning relationships with third parties, including partnerships;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size of our addressable and serviceable markets, spend in those markets and our ability to penetrate those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amount of our customers’ gross transaction volume (“GTV”) that we can recognize as revenue;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protect and enhance our intellectual property;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industry trends, in particular the rate of adoption of trades-specific and end-to-end AI-powered technologies and digitization of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anticipate technological and industry developments and our ability to enhance our platform or develop new products to respond to such developments;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scale our systems and operations as we grow, including through organic and inorganic growth;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reliance on key personnel and our ability to attract, maintain and retain management and skilled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present and future litigation;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effects of existing and developing laws and regulations, including with respect to taxation and privacy and data protection;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the security and availability of our platform and protect against data breaches and other security incidents;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increased expenses associated with being a public company;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effective disclosure controls and procedures and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caution you that the foregoing list may not contain all of the forward-looking statements made in this Quarterly Report.</w:t>
      </w:r>
    </w:p>
    <w:p>
      <w:pPr>
        <w:pStyle w:val="TextBody"/>
        <w:bidi w:val="0"/>
        <w:spacing w:before="240" w:after="283"/>
        <w:jc w:val="both"/>
        <w:rPr>
          <w:rFonts w:ascii="Times New Roman" w:hAnsi="Times New Roman"/>
          <w:sz w:val="20"/>
        </w:rPr>
      </w:pPr>
      <w:r>
        <w:rPr>
          <w:rFonts w:ascii="Times New Roman" w:hAnsi="Times New Roman"/>
          <w:color w:val="231F20"/>
          <w:sz w:val="20"/>
        </w:rPr>
        <w:t>You should not rely upon forward-looking statements as predictions of future events. We have based the forward-looking statements contained in this Quarterly Report primarily on management’s current expectations and projections about future events and trends that we believe may affect our business, financial condition, results of operations and prospects, based on information available to us at the time such statements are made. The outcome of the events described in these forward-looking statements is subject to risks, uncertainties and other factors, including those described in Part I, Item 2, “</w:t>
      </w:r>
      <w:r>
        <w:rPr>
          <w:rFonts w:ascii="Times New Roman" w:hAnsi="Times New Roman"/>
          <w:i/>
          <w:color w:val="231F20"/>
          <w:sz w:val="20"/>
        </w:rPr>
        <w:t>Management’s Discussion and Analysis of Financial Condition and Results of Operations</w:t>
      </w:r>
      <w:r>
        <w:rPr>
          <w:rFonts w:ascii="Times New Roman" w:hAnsi="Times New Roman"/>
          <w:color w:val="231F20"/>
          <w:sz w:val="20"/>
        </w:rPr>
        <w:t>,” and Part II, Item 1A, “</w:t>
      </w:r>
      <w:r>
        <w:rPr>
          <w:rFonts w:ascii="Times New Roman" w:hAnsi="Times New Roman"/>
          <w:i/>
          <w:color w:val="231F20"/>
          <w:sz w:val="20"/>
        </w:rPr>
        <w:t>Risk Factors</w:t>
      </w:r>
      <w:r>
        <w:rPr>
          <w:rFonts w:ascii="Times New Roman" w:hAnsi="Times New Roman"/>
          <w:color w:val="231F20"/>
          <w:sz w:val="20"/>
        </w:rPr>
        <w:t>,” within this Quarterly Report, as well as those risks and uncertainties set forth from time to time in our reports and other documents filed with the Securities and Exchange Commission (the “SEC”).</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Although we do not make forward-looking statements unless we believe we have a reasonable basis for doing so, we cannot guarantee their accuracy or completeness. Moreover,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undertake no obligation to update any forward-looking statements made in this Quarterly Report to reflect events or circumstances after the date of this Quarterly Report or to reflect new information or the occurrence of unanticipated events, except as required by law or the listing rules of The Nasdaq Stock Market LLC (“Nasdaq”). We may not actually achieve the plans, intentions or expectations disclosed in our forward-looking statements and you should not place undue reliance on our forward-looking statements.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GENERAL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All reports we file with the SEC are available for download free of charge via the Electronic Data Gathering Analysis and Retrieval (EDGAR) System on the SEC’s website at www.sec.gov. We also make electronic copies of our reports available for download, free of charge, through our investor relations website at investors.servicetitan.com as soon as reasonably practicable after filing such material with the SEC. We may announce material business and financial information to our investors using our investor relations website at investors.servicetitan.com. We therefore encourage investors and others interested in our business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summary_risk_factors"/>
      <w:bookmarkEnd w:id="3"/>
      <w:r>
        <w:rPr>
          <w:rFonts w:ascii="Times New Roman" w:hAnsi="Times New Roman"/>
          <w:b/>
          <w:color w:val="000000"/>
          <w:sz w:val="20"/>
        </w:rPr>
        <w:t>SUMMARY OF RISK FACTORS</w:t>
      </w:r>
    </w:p>
    <w:p>
      <w:pPr>
        <w:pStyle w:val="TextBody"/>
        <w:bidi w:val="0"/>
        <w:spacing w:before="240" w:after="283"/>
        <w:jc w:val="both"/>
        <w:rPr>
          <w:rFonts w:ascii="Times New Roman" w:hAnsi="Times New Roman"/>
          <w:sz w:val="20"/>
        </w:rPr>
      </w:pPr>
      <w:r>
        <w:rPr>
          <w:rFonts w:ascii="Times New Roman" w:hAnsi="Times New Roman"/>
          <w:color w:val="000000"/>
          <w:sz w:val="20"/>
        </w:rPr>
        <w:t>Our business is subject to numerous risks and uncertainties, including those highlighted in the section titled “</w:t>
      </w:r>
      <w:r>
        <w:rPr>
          <w:rFonts w:ascii="Times New Roman" w:hAnsi="Times New Roman"/>
          <w:i/>
          <w:color w:val="000000"/>
          <w:sz w:val="20"/>
        </w:rPr>
        <w:t>Risk Factors</w:t>
      </w:r>
      <w:r>
        <w:rPr>
          <w:rFonts w:ascii="Times New Roman" w:hAnsi="Times New Roman"/>
          <w:color w:val="000000"/>
          <w:sz w:val="20"/>
        </w:rPr>
        <w:t>” contained within this Quarterly Report. These risks could materially and adversely impact our business, financial condition and results of operations, which could cause the trading price of our Class A common stock to decline and could result in a loss of all or part of your investment. Additional risks, beyond those summarized below or discussed elsewhere in this Quarterly Report, may apply to our business, activities or operations as currently conducted or as we may conduct them in the future or in the markets in which we operate or may in the future operate.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rapid growth in recent periods, and such growth may not be indicative of our future growth. If we fail to properly manage future growth, our business, financial condition, results of operations and prospects could be materially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losses and may not be able to achieve or sustain profitability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manage our growth effectively, our brand and reputation, business, financial condition and results of operations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that adversely affect the trades industry, including industry consolidation, the increased prevalence of marketplaces for contractors, supply chain issues, tariffs on imported goods, and labor shortages, could also adversely affect the demand for our platform and, as a result,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engage our team members in various ways, including direct hires, through professional employer organizations and as independent contractors. As a result of these methods of engagement, we face certain challenges and risks that can affect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economic conditions, including the resulting effect on consumer spending and on our customers’ finances and operations, may adversely affect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software designed to serve the trades is evolving, and our future success depends on the growth of the trades industry and our ability to adapt, keep pace and respond effectively to evolving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rPr>
        <w:t>We have incorporated and are incorporating traditional AI, machine learning and generative AI (</w:t>
      </w:r>
      <w:r>
        <w:rPr>
          <w:rFonts w:ascii="Times New Roman" w:hAnsi="Times New Roman"/>
          <w:color w:val="231F20"/>
          <w:sz w:val="20"/>
        </w:rPr>
        <w:t>“</w:t>
      </w:r>
      <w:r>
        <w:rPr>
          <w:rFonts w:ascii="Times New Roman" w:hAnsi="Times New Roman"/>
          <w:color w:val="000000"/>
          <w:sz w:val="20"/>
        </w:rPr>
        <w:t>GenAI</w:t>
      </w:r>
      <w:r>
        <w:rPr>
          <w:rFonts w:ascii="Times New Roman" w:hAnsi="Times New Roman"/>
          <w:color w:val="231F20"/>
          <w:sz w:val="20"/>
        </w:rPr>
        <w:t>”</w:t>
      </w:r>
      <w:r>
        <w:rPr>
          <w:rFonts w:ascii="Times New Roman" w:hAnsi="Times New Roman"/>
          <w:color w:val="000000"/>
          <w:sz w:val="20"/>
        </w:rPr>
        <w:t>) into our platform. This technology is new and developing and may present operational and reputational risks or result in liability or harm to our reputation, business, results of operations or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unsuccessful in making, integrating and maintaining acquisitions, including past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to offer high quality support for our customers, including throughout the implementation process, may harm our relationships with our customers and, consequently,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platform will depend on our ability to develop and expand our sales and marketing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majority of our customers are small- and medium-sized businesses, which can be more difficult and costly to retain than large businesses and may increase the impact of economic fluctuations on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software and services licensed from other third parties. Defects in or the loss of software or services from third parties could increase our costs and adversely affect the quality of our service.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collection, processing, storage, use and disclosure of personal information are governed by a rapidly evolving framework of privacy, data protection, cybersecurity, data transfer or other laws or regulations worldwide that may limit the use and adoption of our products and services and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internal control over financial reporting may not continue to be effective and we may experience material weaknesses in the future, which could affect the reliability of our financial statements and have other adverse consequences.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multi-class structure of our common stock has the effect of concentrating voting power with Ara Mahdessian and Vahe Kuzoyan (our “Co-Founders”),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Future issuances of our Class C common stock, if any, will not dilute the voting power of our Co-Founders, but will dilute their economic interest, which could cause their interests to conflict with your interests. Further, the issuance of shares of Class C common stock, whether to our Co-Founders or to other stockholders, could prolong the duration of our Co-Founders’ voting power.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72"/>
        <w:gridCol w:w="146"/>
        <w:gridCol w:w="196"/>
        <w:gridCol w:w="886"/>
        <w:gridCol w:w="166"/>
        <w:gridCol w:w="146"/>
        <w:gridCol w:w="196"/>
        <w:gridCol w:w="886"/>
        <w:gridCol w:w="1011"/>
      </w:tblGrid>
      <w:tr>
        <w:trPr/>
        <w:tc>
          <w:tcPr>
            <w:tcW w:w="6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428,769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 net of allowance of $11,151 and $11,963 as of July 31, 2026 and</w:t>
              <w:br/>
              <w:t>   January 31,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55,974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contract costs,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57,777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590,858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contract costs,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176,743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860,250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1,745,057</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 and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169,452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219,823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par value $0.001, 100,000,000 shares authorized as of July 31, 2026</w:t>
              <w:br/>
              <w:t>   and January 31, 2026. No shares issued and outstanding as of July 31, 2026 and</w:t>
              <w:br/>
              <w: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par value $0.001, 1,000,000,000 shares authorized as of</w:t>
              <w:br/>
              <w:t>   July 31, 2026 and January 31, 2026. 83,857,202 shares and 81,956,537 shares</w:t>
              <w:br/>
              <w:t>   issued and outstanding as of July 31, 2026 and January 31,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Class B common stock, par value $0.001, 100,000,000 shares authorized as of </w:t>
              <w:br/>
              <w:t>   July 31, 2026 and January 31, 2026. 12,605,018 shares and 12,644,614 shares</w:t>
              <w:br/>
              <w:t>   issued and outstanding as of July 31, 2026 and January 31,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C common stock, par value $0.001, 100,000,000 shares authorized as of</w:t>
              <w:br/>
              <w:t xml:space="preserve">    July 31, 2026 and January 31, 2026. No shares issued and outstanding as of </w:t>
              <w:br/>
              <w:t>    July 31, 2026 and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2,790,722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(1,265,583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7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1,525,234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1,745,057</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7" w:name="consolidated_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18"/>
        <w:gridCol w:w="346"/>
        <w:gridCol w:w="196"/>
        <w:gridCol w:w="916"/>
        <w:gridCol w:w="366"/>
        <w:gridCol w:w="346"/>
        <w:gridCol w:w="196"/>
        <w:gridCol w:w="916"/>
        <w:gridCol w:w="366"/>
        <w:gridCol w:w="346"/>
        <w:gridCol w:w="196"/>
        <w:gridCol w:w="916"/>
        <w:gridCol w:w="366"/>
        <w:gridCol w:w="346"/>
        <w:gridCol w:w="196"/>
        <w:gridCol w:w="916"/>
        <w:gridCol w:w="166"/>
        <w:gridCol w:w="391"/>
      </w:tblGrid>
      <w:tr>
        <w:trPr/>
        <w:tc>
          <w:tcPr>
            <w:tcW w:w="27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284,496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545,060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561,580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60,521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116,030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23,166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83,687</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70,774</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158,720</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138,070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209,069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171,349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402,860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150,045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73,065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117,475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236,621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206,121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456,174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(53,314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(31,861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(45,400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used in computing net loss</w:t>
              <w:br/>
              <w:t>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95,863,240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91,687,907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95,440,743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91,041,726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8" w:name="statements_of_stockholders_deficit"/>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04"/>
        <w:gridCol w:w="146"/>
        <w:gridCol w:w="146"/>
        <w:gridCol w:w="916"/>
        <w:gridCol w:w="146"/>
        <w:gridCol w:w="146"/>
        <w:gridCol w:w="249"/>
        <w:gridCol w:w="442"/>
        <w:gridCol w:w="146"/>
        <w:gridCol w:w="146"/>
        <w:gridCol w:w="146"/>
        <w:gridCol w:w="916"/>
        <w:gridCol w:w="166"/>
        <w:gridCol w:w="146"/>
        <w:gridCol w:w="249"/>
        <w:gridCol w:w="442"/>
        <w:gridCol w:w="146"/>
        <w:gridCol w:w="146"/>
        <w:gridCol w:w="196"/>
        <w:gridCol w:w="826"/>
        <w:gridCol w:w="146"/>
        <w:gridCol w:w="146"/>
        <w:gridCol w:w="196"/>
        <w:gridCol w:w="886"/>
        <w:gridCol w:w="166"/>
        <w:gridCol w:w="146"/>
        <w:gridCol w:w="199"/>
        <w:gridCol w:w="842"/>
        <w:gridCol w:w="212"/>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 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82,736,967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1,560,576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Class B to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from liabilities upon vesting of</w:t>
              <w:br/>
              <w:t>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83,857,202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12,605,018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1,605,696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center"/>
        <w:rPr/>
      </w:pPr>
      <w:r>
        <w:rPr/>
        <w:t> </w:t>
      </w:r>
    </w:p>
    <w:tbl>
      <w:tblPr>
        <w:tblW w:w="10205" w:type="dxa"/>
        <w:jc w:val="left"/>
        <w:tblInd w:w="0" w:type="dxa"/>
        <w:tblLayout w:type="fixed"/>
        <w:tblCellMar>
          <w:top w:w="28" w:type="dxa"/>
          <w:left w:w="28" w:type="dxa"/>
          <w:bottom w:w="28" w:type="dxa"/>
          <w:right w:w="28" w:type="dxa"/>
        </w:tblCellMar>
      </w:tblPr>
      <w:tblGrid>
        <w:gridCol w:w="1402"/>
        <w:gridCol w:w="146"/>
        <w:gridCol w:w="146"/>
        <w:gridCol w:w="916"/>
        <w:gridCol w:w="146"/>
        <w:gridCol w:w="146"/>
        <w:gridCol w:w="249"/>
        <w:gridCol w:w="442"/>
        <w:gridCol w:w="146"/>
        <w:gridCol w:w="146"/>
        <w:gridCol w:w="146"/>
        <w:gridCol w:w="916"/>
        <w:gridCol w:w="166"/>
        <w:gridCol w:w="146"/>
        <w:gridCol w:w="249"/>
        <w:gridCol w:w="442"/>
        <w:gridCol w:w="146"/>
        <w:gridCol w:w="146"/>
        <w:gridCol w:w="196"/>
        <w:gridCol w:w="826"/>
        <w:gridCol w:w="146"/>
        <w:gridCol w:w="146"/>
        <w:gridCol w:w="196"/>
        <w:gridCol w:w="886"/>
        <w:gridCol w:w="166"/>
        <w:gridCol w:w="146"/>
        <w:gridCol w:w="199"/>
        <w:gridCol w:w="844"/>
        <w:gridCol w:w="212"/>
      </w:tblGrid>
      <w:tr>
        <w:trPr/>
        <w:tc>
          <w:tcPr>
            <w:tcW w:w="1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77,236,670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13,404,097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1,453,929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Class B to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79,465,080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13,365,549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1,489,414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4"/>
        <w:gridCol w:w="146"/>
        <w:gridCol w:w="146"/>
        <w:gridCol w:w="916"/>
        <w:gridCol w:w="146"/>
        <w:gridCol w:w="146"/>
        <w:gridCol w:w="249"/>
        <w:gridCol w:w="442"/>
        <w:gridCol w:w="146"/>
        <w:gridCol w:w="146"/>
        <w:gridCol w:w="146"/>
        <w:gridCol w:w="916"/>
        <w:gridCol w:w="166"/>
        <w:gridCol w:w="146"/>
        <w:gridCol w:w="249"/>
        <w:gridCol w:w="442"/>
        <w:gridCol w:w="146"/>
        <w:gridCol w:w="146"/>
        <w:gridCol w:w="196"/>
        <w:gridCol w:w="826"/>
        <w:gridCol w:w="146"/>
        <w:gridCol w:w="146"/>
        <w:gridCol w:w="196"/>
        <w:gridCol w:w="886"/>
        <w:gridCol w:w="166"/>
        <w:gridCol w:w="146"/>
        <w:gridCol w:w="199"/>
        <w:gridCol w:w="842"/>
        <w:gridCol w:w="212"/>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 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81,956,537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12,644,614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1,525,234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Class B to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from liabilities upon vesting of</w:t>
              <w:br/>
              <w:t>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118,245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83,857,202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12,605,018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1,605,696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6"/>
        <w:gridCol w:w="146"/>
        <w:gridCol w:w="146"/>
        <w:gridCol w:w="916"/>
        <w:gridCol w:w="166"/>
        <w:gridCol w:w="146"/>
        <w:gridCol w:w="249"/>
        <w:gridCol w:w="442"/>
        <w:gridCol w:w="146"/>
        <w:gridCol w:w="146"/>
        <w:gridCol w:w="146"/>
        <w:gridCol w:w="916"/>
        <w:gridCol w:w="166"/>
        <w:gridCol w:w="146"/>
        <w:gridCol w:w="249"/>
        <w:gridCol w:w="442"/>
        <w:gridCol w:w="146"/>
        <w:gridCol w:w="146"/>
        <w:gridCol w:w="196"/>
        <w:gridCol w:w="826"/>
        <w:gridCol w:w="166"/>
        <w:gridCol w:w="146"/>
        <w:gridCol w:w="196"/>
        <w:gridCol w:w="886"/>
        <w:gridCol w:w="166"/>
        <w:gridCol w:w="146"/>
        <w:gridCol w:w="198"/>
        <w:gridCol w:w="841"/>
        <w:gridCol w:w="212"/>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76,644,240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13,404,097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1,454,584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Initial public offering costs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Class B to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cancelled related to previously issued RSAs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repurchased for tax withholding on settlement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from liabilities upon vesting of</w:t>
              <w:br/>
              <w:t>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79,465,080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13,365,549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1,489,414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9" w:name="consolidated_statements_of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9794" w:type="dxa"/>
        <w:jc w:val="left"/>
        <w:tblInd w:w="0" w:type="dxa"/>
        <w:tblLayout w:type="fixed"/>
        <w:tblCellMar>
          <w:top w:w="28" w:type="dxa"/>
          <w:left w:w="28" w:type="dxa"/>
          <w:bottom w:w="28" w:type="dxa"/>
          <w:right w:w="28" w:type="dxa"/>
        </w:tblCellMar>
      </w:tblPr>
      <w:tblGrid>
        <w:gridCol w:w="5751"/>
        <w:gridCol w:w="946"/>
        <w:gridCol w:w="196"/>
        <w:gridCol w:w="691"/>
        <w:gridCol w:w="166"/>
        <w:gridCol w:w="146"/>
        <w:gridCol w:w="196"/>
        <w:gridCol w:w="691"/>
        <w:gridCol w:w="1011"/>
      </w:tblGrid>
      <w:tr>
        <w:trPr/>
        <w:tc>
          <w:tcPr>
            <w:tcW w:w="575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provided by operating</w:t>
              <w:br/>
              <w:t>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 and disposal of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credit losses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 net of effect of business acquisition: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Prepaid expenses and other current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Contract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Accounts payable and other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Accrued personnel-related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Operating lease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internal-use software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Deposits for property and equipment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(13,804</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debt arrangements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deferred initial public offering costs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29,266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442,846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472,112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bookmarkStart w:id="10" w:name="cf_start"/>
      <w:bookmarkEnd w:id="10"/>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334" w:type="dxa"/>
        <w:jc w:val="left"/>
        <w:tblInd w:w="0" w:type="dxa"/>
        <w:tblLayout w:type="fixed"/>
        <w:tblCellMar>
          <w:top w:w="28" w:type="dxa"/>
          <w:left w:w="28" w:type="dxa"/>
          <w:bottom w:w="28" w:type="dxa"/>
          <w:right w:w="28" w:type="dxa"/>
        </w:tblCellMar>
      </w:tblPr>
      <w:tblGrid>
        <w:gridCol w:w="5331"/>
        <w:gridCol w:w="946"/>
        <w:gridCol w:w="196"/>
        <w:gridCol w:w="691"/>
        <w:gridCol w:w="146"/>
        <w:gridCol w:w="146"/>
        <w:gridCol w:w="196"/>
        <w:gridCol w:w="691"/>
        <w:gridCol w:w="991"/>
      </w:tblGrid>
      <w:tr>
        <w:trPr/>
        <w:tc>
          <w:tcPr>
            <w:tcW w:w="53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other cash flow information: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amounts included in the measurement of lease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6,782</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internal-use software additions included in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capitalized in internal-use software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w:t>
              <w:br/>
              <w:t>   accrued expenses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from liabilities to additional paid-in capital upon vesting of</w:t>
              <w:br/>
              <w:t>   early exercised stock options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in exchange for lease obligation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lease modification</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deposits to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within</w:t>
              <w:br/>
              <w:t>   consolidated balance sheets: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471,485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cash, cash equivalents, and restricted cash shown in the</w:t>
              <w:br/>
              <w:t>   consolidated statements of cash flows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472,112</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bookmarkStart w:id="11" w:name="cf_end"/>
      <w:bookmarkEnd w:id="11"/>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Description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ServiceTitan, Inc. (“ServiceTitan” or the “Company”) is an end-to-end, AI-powered cloud-based software platform built for contractors to transform the performance of their businesses. The Company’s platform provides business owners, technicians, customer service representatives and other key office staff with technology tools designed to help customers grow revenue, drive operational efficiencies, deliver a superior end-customer experience and monitor key business drivers in real-time.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ServiceTitan is incorporated in the state of Delaware. The Company has established wholly-owned subsidiaries globally, and its headquarters are in Glendale, California.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condensed consolidated financial statements and accompanying notes have been prepared in accordance with generally accepted accounting principles in the United States of America (“GAAP”) and regulations of the Securities and Exchange Commission (the “SEC”)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the Company’s audited consolidated financial statements for the year ended January 31, 2026. The January 31, 2026 condensed consolidated balance sheet was derived from the Company’s audited consolidated financial statements as of that date. The unaudited condensed consolidated financial statements include, in the opinion of management, all adjustments, consisting of normal and recurring items, necessary for the fair statement of the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have been no significant changes in accounting policies during the three and six months ended July 31, 2026 from those disclosed in the annual consolidated financial statements for the year ended January 31, 2026 and the related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condensed consolidated financial statements include the operations of the Company and its wholly owned subsidiaries. All intercompany transactions and balances have been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July 31, 2026 and 2025 the Company had no material other comprehensive income (loss) items. Accordingly, a separate statement of comprehensive loss has not been presented in these unaudited condensed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on an ongoing basis, estimates and assumptions that affect the amounts reported and disclosed in the condensed consolidated financial statements and accompanying notes. Actual results may ultimately differ from management’s estimates. Areas that are subject to judgment and use of estimates include revenue recognition, expected period of benefit for deferred contract costs, income taxes, estimated credit losses, certain accrued liabilities including non-income tax liabilities, internally developed software, useful lives and recoverability of long-lived assets, asset retirement obligations, the recoverability of goodwill, the incremental borrowing rate used to determine lease liabilities, fair value of stock-based compensation, and fair value of assets acquired and liabilities assumed in a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 periodic basis, management evaluates its estimates based on historical data and experience, as well as various other factors that management believes to be reasonable under the circumstances, the result of which form the basis for making judgments about the carrying value of assets and liabilities that are not readily apparent from other sources. In addition, the Company routinely engages third-party valuation specialists to assist in the fair value measurement of certain assets acquired and liabilities assumed in a business combination and stock-based compensation and other equity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Concentrations of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31, 2026 and January 31, 2026, receivables from a third-party processor used for customer payment and financing accounted for 20% and 18% of accounts receivable, respectively. Fees from a third-party processor represented approximately 13% and 14% of total revenue for the three months ended July 31, 2026 and 2025, respectively, and 12% and 14% for the six months ended July 31, 2026 and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an end-to-end, AI-powered cloud-based software platform that helps customers to manage a wide array of business workflows in the trades such as advertising, job scheduling and management, dispatching, generating estimates and invoices, payment processing and more. The Company derives substantially all revenue from platform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chief operating decision maker (“CODM”) is the Chief Executive Officer. The CODM evaluates the Company’s financial performance and decides how to allocate resources based on financial information at the consolidated level. Accordingly, the Company has determined that it operates in a single operating and reportable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manages the segment performance and resource allocation based on consolidated net income (loss) and total consolidated assets as reported in the consolidated statements of operations and balance sheets. Significant segment expenses regularly provided to the CODM include cost of revenue, sales and marketing, research and development, and general and administrative expenses, other income (expense), net, and provision for income taxes as reported on the consolidated statements of operations. Since the Company operates as one operating segment, financial segment information, including profit or loss and asset information, can be found in the consolidated financial statements. The CODM reviews actual results of operations compared to forecasts when assessing performance and making decisions about allocating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majority of the Company’s long-lived assets, consisting of property and equipment and right-of-use (“ROU”) assets, were concentrated in the United States as of July 31, 2026 and January 31, 2026. Long-lived assets outside the United States were not material as of July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Measurement of Credit Losses for Accounts Receivable and Contract Assets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FASB issued ASU 2025-05, Financial Instruments - Credit Losses (Topic 326):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which amends ASC 326-20 to provide a practical expedient related to the estimation of expected credit losses for current accounts receivable and current contract assets that arise from transactions accounted for under ASC 606. The practical expedient permits all entities to assume that current conditions as of the balance sheet date do not change for the remaining life of the asset. The Company adopted ASU 2025-05 on February 1, 2026, on a prospective basis. The adoption did not have a material impact on the Company’s condensed consolidated financial statements. Upon adoption, the Company elected the practical expedient for current accounts receivable and current contract assets. No other changes were made to the Company’s credit-loss estimation methodologies.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Tax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The Company adopted ASU 2023-09 for the year ended January 31, 2026 and applied the new disclosure requirements on a prospective basis. The adoption of this standard did not have an impact on the Company’s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Disaggregation of Income Statement Expenses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w:t>
      </w:r>
      <w:r>
        <w:rPr>
          <w:rFonts w:ascii="Times New Roman" w:hAnsi="Times New Roman"/>
          <w:color w:val="000000"/>
          <w:sz w:val="20"/>
        </w:rPr>
        <w:t xml:space="preserve"> </w:t>
      </w:r>
      <w:r>
        <w:rPr>
          <w:rFonts w:ascii="Times New Roman" w:hAnsi="Times New Roman"/>
          <w:i/>
          <w:color w:val="000000"/>
          <w:sz w:val="20"/>
        </w:rPr>
        <w:t>- Reporting Comprehensive Income - Expense Disaggregation Disclosure (Subtopic 220-40): Disaggregation of Income Statement Expenses</w:t>
      </w:r>
      <w:r>
        <w:rPr>
          <w:rFonts w:ascii="Times New Roman" w:hAnsi="Times New Roman"/>
          <w:color w:val="000000"/>
          <w:sz w:val="20"/>
        </w:rPr>
        <w:t xml:space="preserve">, which requires disclosure, in the notes to the financial statements, of additional information about certain costs and expenses for interim and annual reporting periods. The amendments are effective beginning with the Company’s fiscal 2028 and interim periods beginning with the Company’s fiscal 2029 on a prospective basis and retrospective application is permitted. The Company is currently evaluating the impact of the new guidance on the disclosure within its consolidated financial statements.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Accounting for Internal-Use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The new guidance amends certain aspects of the accounting for and disclosure of software costs under ASC 350-40. ASU 2025-06 is effective beginning with the Company’s fiscal 2029, with early adoption permitted. The Company is currently evaluating the impact of the new guidance on the disclosure within its consolidated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Interim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2025-11, Interim Reporting (Topic 270): </w:t>
      </w:r>
      <w:r>
        <w:rPr>
          <w:rFonts w:ascii="Times New Roman" w:hAnsi="Times New Roman"/>
          <w:i/>
          <w:color w:val="000000"/>
          <w:sz w:val="20"/>
        </w:rPr>
        <w:t>Narrow-Scope Improvements</w:t>
      </w:r>
      <w:r>
        <w:rPr>
          <w:rFonts w:ascii="Times New Roman" w:hAnsi="Times New Roman"/>
          <w:color w:val="000000"/>
          <w:sz w:val="20"/>
        </w:rPr>
        <w:t>, which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beginning with the Company’s fiscal 2029. Early adoption is permitted. The Company is currently evaluating the impact of adopting this ASU on its condensed consolidated financial statements and disclosures.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price allocated to remaining performance obligations represents the contracted transaction price that has not yet been recognized as revenue, which includes deferred revenue and amounts under non-cancellable contracts greater than one year that will be recognized as revenue in future periods. In nearly all cases, the Company’s subscription agreements (monthly, annual, or multi-year) renew automatically unless cancelled in advance, and all auto-renewing contracts renew for one-year terms rather than multi-year commitments. As of July 31, 2026, the aggregate amount of the transaction price allocated to remaining performance obligations was $527.4 million, of which the Company expects to recognize approximately 50% as revenue in the next 12 months and substantially all of the remainder by July 31, 2029.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Remaining performance obligations exclude upsell products, including usage-based fees, and payment and financing solution fees for which the Company applies the “right to invoice” practical expedient.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Disaggregated Revenue and Revenue by Geography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Disaggregated revenue was as follows (in thousands):</w:t>
      </w:r>
    </w:p>
    <w:p>
      <w:pPr>
        <w:pStyle w:val="TextBody"/>
        <w:bidi w:val="0"/>
        <w:jc w:val="left"/>
        <w:rPr/>
      </w:pPr>
      <w:r>
        <w:rPr/>
        <w:t> </w:t>
      </w:r>
    </w:p>
    <w:tbl>
      <w:tblPr>
        <w:tblW w:w="7380" w:type="dxa"/>
        <w:jc w:val="left"/>
        <w:tblInd w:w="0" w:type="dxa"/>
        <w:tblLayout w:type="fixed"/>
        <w:tblCellMar>
          <w:top w:w="28" w:type="dxa"/>
          <w:left w:w="28" w:type="dxa"/>
          <w:bottom w:w="28" w:type="dxa"/>
          <w:right w:w="28" w:type="dxa"/>
        </w:tblCellMar>
      </w:tblPr>
      <w:tblGrid>
        <w:gridCol w:w="2251"/>
        <w:gridCol w:w="146"/>
        <w:gridCol w:w="212"/>
        <w:gridCol w:w="747"/>
        <w:gridCol w:w="158"/>
        <w:gridCol w:w="158"/>
        <w:gridCol w:w="212"/>
        <w:gridCol w:w="747"/>
        <w:gridCol w:w="146"/>
        <w:gridCol w:w="146"/>
        <w:gridCol w:w="196"/>
        <w:gridCol w:w="691"/>
        <w:gridCol w:w="146"/>
        <w:gridCol w:w="146"/>
        <w:gridCol w:w="196"/>
        <w:gridCol w:w="691"/>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212,373</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337,470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284,496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440,708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292,756</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561,580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Substantially all of the Company’s revenue is concentrated in the United States. Revenue from customers outside of the United States, based on the billing address of the customer, comprised less than 5% of total revenue for each of the three and six months ended July 31, 2026 and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recognized revenue of $16.9 million and $14.5 million for the three months ended July 31, 2026 and 2025, respectively, which was included in deferred revenue balances at the beginning of the respective periods. The Company recognized revenue of $17.1 million and $15.5 million for the six months ended July 31, 2026 and 2025, respectively, which was included in deferred revenue balances at the beginning of the respective periods. Substantially all of the $17.4 million of deferred revenue as of July 31, 2026 is expected to be fully recognized in the next 12 months.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Deferred 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July 31, 2026 and 2025, the Company capitalized $3.0 million and $4.4 million of deferred contract costs, respectively. During the six months ended July 31, 2026 and 2025, the Company capitalized $6.8 million and $10.2 million of deferred contract costs, respectively. Amortization expense for the deferred contract costs included in sales and marketing expense in the unaudited condensed consolidated statements of operations was $4.0 million and $3.6 million for the three months ended July 31, 2026 and 2025, respectively, and $8.2 million and $6.9 million for the six months ended July 31, 2026 and 2025,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Company determines the need for an allowance for credit losses based upon various factors, including past collection experience, credit quality of the customer, age of the receivable balance, and current economic conditions, as well as specific circumstances arising with individual customers. Accounts receivables are written off against the allowance when management determines a balance is uncollectible and the Company no longer actively pursues collection of the receivable. The changes in the allowance for credit losses are as follows (in thousands):</w:t>
      </w:r>
    </w:p>
    <w:tbl>
      <w:tblPr>
        <w:tblW w:w="3806" w:type="dxa"/>
        <w:jc w:val="left"/>
        <w:tblInd w:w="0" w:type="dxa"/>
        <w:tblLayout w:type="fixed"/>
        <w:tblCellMar>
          <w:top w:w="28" w:type="dxa"/>
          <w:left w:w="28" w:type="dxa"/>
          <w:bottom w:w="28" w:type="dxa"/>
          <w:right w:w="28" w:type="dxa"/>
        </w:tblCellMar>
      </w:tblPr>
      <w:tblGrid>
        <w:gridCol w:w="1411"/>
        <w:gridCol w:w="146"/>
        <w:gridCol w:w="213"/>
        <w:gridCol w:w="653"/>
        <w:gridCol w:w="180"/>
        <w:gridCol w:w="158"/>
        <w:gridCol w:w="213"/>
        <w:gridCol w:w="621"/>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assets and liabilities measured and recorded at fair value on a recurring basis consisted of the following (in thousands): </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2476"/>
        <w:gridCol w:w="146"/>
        <w:gridCol w:w="196"/>
        <w:gridCol w:w="691"/>
        <w:gridCol w:w="146"/>
        <w:gridCol w:w="146"/>
        <w:gridCol w:w="228"/>
        <w:gridCol w:w="402"/>
        <w:gridCol w:w="146"/>
        <w:gridCol w:w="146"/>
        <w:gridCol w:w="228"/>
        <w:gridCol w:w="402"/>
        <w:gridCol w:w="146"/>
        <w:gridCol w:w="146"/>
        <w:gridCol w:w="196"/>
        <w:gridCol w:w="69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2476"/>
        <w:gridCol w:w="146"/>
        <w:gridCol w:w="196"/>
        <w:gridCol w:w="691"/>
        <w:gridCol w:w="146"/>
        <w:gridCol w:w="146"/>
        <w:gridCol w:w="228"/>
        <w:gridCol w:w="402"/>
        <w:gridCol w:w="146"/>
        <w:gridCol w:w="146"/>
        <w:gridCol w:w="228"/>
        <w:gridCol w:w="402"/>
        <w:gridCol w:w="146"/>
        <w:gridCol w:w="146"/>
        <w:gridCol w:w="196"/>
        <w:gridCol w:w="69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money market funds are considered Level 1 as fair value is based on market prices for identical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and January 31, 2026 the fair value of the Company’s financial instruments included in current assets and current liabilities (including restricted cash, accounts receivable, accounts payable, and accrued expenses) approximated carrying value due to the short-term nature of such items.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changes to the Company’s valuation techniques used to measure the fair value of assets and liabilities on a recurring basis during the six months ended July 31, 2026. There were no transfers of assets from Level 2 to Level 3 during the six months ended July 31, 2026 and 2025.</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Certain assets, including goodwill, intangible assets and other long-lived assets are also subject to measurement at fair value on a nonrecurring basis using Level 3 measurements, but only when they are deemed to be impaired as a result of an impairment review. There was no impairment of long-lived assets during the three and six months ended July 31, 2026 and the three months ended July 31, 2025. For the six months ended July 31, 2025, the Company recorded an impairment of long-lived assets of $8.0 million to reduce the carrying value to estimated fair value (see Note 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Prepaid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consisted of the following (in thousands):</w:t>
      </w:r>
    </w:p>
    <w:p>
      <w:pPr>
        <w:pStyle w:val="TextBody"/>
        <w:bidi w:val="0"/>
        <w:jc w:val="both"/>
        <w:rPr/>
      </w:pPr>
      <w:r>
        <w:rPr/>
        <w:t> </w:t>
      </w:r>
    </w:p>
    <w:tbl>
      <w:tblPr>
        <w:tblW w:w="5640" w:type="dxa"/>
        <w:jc w:val="left"/>
        <w:tblInd w:w="0" w:type="dxa"/>
        <w:tblLayout w:type="fixed"/>
        <w:tblCellMar>
          <w:top w:w="28" w:type="dxa"/>
          <w:left w:w="28" w:type="dxa"/>
          <w:bottom w:w="28" w:type="dxa"/>
          <w:right w:w="28" w:type="dxa"/>
        </w:tblCellMar>
      </w:tblPr>
      <w:tblGrid>
        <w:gridCol w:w="2521"/>
        <w:gridCol w:w="146"/>
        <w:gridCol w:w="269"/>
        <w:gridCol w:w="826"/>
        <w:gridCol w:w="146"/>
        <w:gridCol w:w="146"/>
        <w:gridCol w:w="343"/>
        <w:gridCol w:w="1052"/>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software and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cloud hosting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Internal-use Software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Internal-use software development costs were as follows (in thousands):</w:t>
      </w:r>
    </w:p>
    <w:p>
      <w:pPr>
        <w:pStyle w:val="TextBody"/>
        <w:bidi w:val="0"/>
        <w:jc w:val="both"/>
        <w:rPr/>
      </w:pPr>
      <w:r>
        <w:rPr/>
        <w:t> </w:t>
      </w:r>
    </w:p>
    <w:tbl>
      <w:tblPr>
        <w:tblW w:w="6505" w:type="dxa"/>
        <w:jc w:val="left"/>
        <w:tblInd w:w="0" w:type="dxa"/>
        <w:tblLayout w:type="fixed"/>
        <w:tblCellMar>
          <w:top w:w="28" w:type="dxa"/>
          <w:left w:w="28" w:type="dxa"/>
          <w:bottom w:w="28" w:type="dxa"/>
          <w:right w:w="28" w:type="dxa"/>
        </w:tblCellMar>
      </w:tblPr>
      <w:tblGrid>
        <w:gridCol w:w="3346"/>
        <w:gridCol w:w="146"/>
        <w:gridCol w:w="242"/>
        <w:gridCol w:w="853"/>
        <w:gridCol w:w="166"/>
        <w:gridCol w:w="146"/>
        <w:gridCol w:w="308"/>
        <w:gridCol w:w="1087"/>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development costs,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Capitalized software development costs were $6.9 million and $6.5 million for the three months ended July 31, 2026 and 2025, respectively, and $13.1 million and $12.3 million for the six months ended July 31, 2026 and 2025, respectively. Amortization expense for software development costs was $5.9 million and $5.1 million for the three months ended July 31, 2026 and 2025, respectively, and $11.5 million and $10.1 million for the six months ended July 31, 2026 and 2025, respectively. Amortization had not started on $2.6 million and $2.4 million of capitalized internal-use software development costs that were not yet ready for their intended use as of July 31, 2026 and January 31, 2026,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expected future amortization expense related to capitalized internal-use software development costs was as follows (in thousands):</w:t>
      </w:r>
    </w:p>
    <w:p>
      <w:pPr>
        <w:pStyle w:val="TextBody"/>
        <w:bidi w:val="0"/>
        <w:jc w:val="both"/>
        <w:rPr/>
      </w:pPr>
      <w:r>
        <w:rPr/>
        <w:t> </w:t>
      </w:r>
    </w:p>
    <w:tbl>
      <w:tblPr>
        <w:tblW w:w="2485" w:type="dxa"/>
        <w:jc w:val="left"/>
        <w:tblInd w:w="0" w:type="dxa"/>
        <w:tblLayout w:type="fixed"/>
        <w:tblCellMar>
          <w:top w:w="28" w:type="dxa"/>
          <w:left w:w="28" w:type="dxa"/>
          <w:bottom w:w="28" w:type="dxa"/>
          <w:right w:w="28" w:type="dxa"/>
        </w:tblCellMar>
      </w:tblPr>
      <w:tblGrid>
        <w:gridCol w:w="1351"/>
        <w:gridCol w:w="146"/>
        <w:gridCol w:w="196"/>
        <w:gridCol w:w="60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consisted of the following (in thousands, except years):</w:t>
      </w:r>
    </w:p>
    <w:p>
      <w:pPr>
        <w:pStyle w:val="TextBody"/>
        <w:bidi w:val="0"/>
        <w:jc w:val="both"/>
        <w:rPr/>
      </w:pPr>
      <w:r>
        <w:rPr/>
        <w:t> </w:t>
      </w:r>
    </w:p>
    <w:tbl>
      <w:tblPr>
        <w:tblW w:w="6144" w:type="dxa"/>
        <w:jc w:val="left"/>
        <w:tblInd w:w="0" w:type="dxa"/>
        <w:tblLayout w:type="fixed"/>
        <w:tblCellMar>
          <w:top w:w="28" w:type="dxa"/>
          <w:left w:w="28" w:type="dxa"/>
          <w:bottom w:w="28" w:type="dxa"/>
          <w:right w:w="28" w:type="dxa"/>
        </w:tblCellMar>
      </w:tblPr>
      <w:tblGrid>
        <w:gridCol w:w="2506"/>
        <w:gridCol w:w="146"/>
        <w:gridCol w:w="196"/>
        <w:gridCol w:w="661"/>
        <w:gridCol w:w="166"/>
        <w:gridCol w:w="146"/>
        <w:gridCol w:w="226"/>
        <w:gridCol w:w="764"/>
        <w:gridCol w:w="166"/>
        <w:gridCol w:w="146"/>
        <w:gridCol w:w="102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Lives</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 to 7</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expense was $3.2 million and $3.7 million for the three months ended July 31, 2026 and 2025, respectively, and $6.4 million and $7.3 million for the six months ended July 31, 2026 and 2025, respectively.</w:t>
      </w:r>
    </w:p>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was no impairment of long-lived assets during the three months ended July 31, 2026 and 2025, or during the six months ended July 31, 2026. In the six months ended July 31, 2025, the Company recorded impairment charges related to the ceased use of certain office space and determined to sublease such space for the remainder of the lease term, which resulted in the Company reassessing its asset groupings. The Company determined the office space asset groups, comprised primarily of an ROU asset, the related leasehold improvements and other property and equipment, were impaired and recorded an aggregate impairment loss of $8.0 million, to reduce the carrying value of the asset groups to their estimated fair value. The impairments resulted in a reduction of the ROU asset by $1.9 million, and leasehold improvements, furniture and fixtures and office equipment by $6.1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impairments were recorded in the unaudited condensed consolidated statement of operations as follows (in thousands):</w:t>
      </w:r>
    </w:p>
    <w:p>
      <w:pPr>
        <w:pStyle w:val="TextBody"/>
        <w:bidi w:val="0"/>
        <w:spacing w:before="40" w:after="283"/>
        <w:jc w:val="both"/>
        <w:rPr/>
      </w:pPr>
      <w:r>
        <w:rPr/>
        <w:t> </w:t>
      </w:r>
    </w:p>
    <w:tbl>
      <w:tblPr>
        <w:tblW w:w="5738" w:type="dxa"/>
        <w:jc w:val="left"/>
        <w:tblInd w:w="0" w:type="dxa"/>
        <w:tblLayout w:type="fixed"/>
        <w:tblCellMar>
          <w:top w:w="28" w:type="dxa"/>
          <w:left w:w="28" w:type="dxa"/>
          <w:bottom w:w="28" w:type="dxa"/>
          <w:right w:w="28" w:type="dxa"/>
        </w:tblCellMar>
      </w:tblPr>
      <w:tblGrid>
        <w:gridCol w:w="3361"/>
        <w:gridCol w:w="146"/>
        <w:gridCol w:w="565"/>
        <w:gridCol w:w="1475"/>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estimated fair value of the asset groups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Substantially all of the Company’s property and equipment, net, were concentrated in the United States as of July 31, 2026 and January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Accounts Payable and Other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payable and other accrued expenses consisted of the following (in thousands):</w:t>
      </w:r>
    </w:p>
    <w:p>
      <w:pPr>
        <w:pStyle w:val="TextBody"/>
        <w:bidi w:val="0"/>
        <w:jc w:val="both"/>
        <w:rPr/>
      </w:pPr>
      <w:r>
        <w:rPr/>
        <w:t> </w:t>
      </w:r>
    </w:p>
    <w:tbl>
      <w:tblPr>
        <w:tblW w:w="6780" w:type="dxa"/>
        <w:jc w:val="left"/>
        <w:tblInd w:w="0" w:type="dxa"/>
        <w:tblLayout w:type="fixed"/>
        <w:tblCellMar>
          <w:top w:w="28" w:type="dxa"/>
          <w:left w:w="28" w:type="dxa"/>
          <w:bottom w:w="28" w:type="dxa"/>
          <w:right w:w="28" w:type="dxa"/>
        </w:tblCellMar>
      </w:tblPr>
      <w:tblGrid>
        <w:gridCol w:w="3661"/>
        <w:gridCol w:w="146"/>
        <w:gridCol w:w="269"/>
        <w:gridCol w:w="826"/>
        <w:gridCol w:w="146"/>
        <w:gridCol w:w="146"/>
        <w:gridCol w:w="343"/>
        <w:gridCol w:w="1052"/>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 hosting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accounts payable and 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Accrued Personnel-Related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personnel-related expenses consisted of the following (in thousands):</w:t>
      </w:r>
    </w:p>
    <w:p>
      <w:pPr>
        <w:pStyle w:val="TextBody"/>
        <w:bidi w:val="0"/>
        <w:jc w:val="both"/>
        <w:rPr/>
      </w:pPr>
      <w:r>
        <w:rPr/>
        <w:t> </w:t>
      </w:r>
    </w:p>
    <w:tbl>
      <w:tblPr>
        <w:tblW w:w="6090" w:type="dxa"/>
        <w:jc w:val="left"/>
        <w:tblInd w:w="0" w:type="dxa"/>
        <w:tblLayout w:type="fixed"/>
        <w:tblCellMar>
          <w:top w:w="28" w:type="dxa"/>
          <w:left w:w="28" w:type="dxa"/>
          <w:bottom w:w="28" w:type="dxa"/>
          <w:right w:w="28" w:type="dxa"/>
        </w:tblCellMar>
      </w:tblPr>
      <w:tblGrid>
        <w:gridCol w:w="2971"/>
        <w:gridCol w:w="146"/>
        <w:gridCol w:w="269"/>
        <w:gridCol w:w="826"/>
        <w:gridCol w:w="146"/>
        <w:gridCol w:w="146"/>
        <w:gridCol w:w="343"/>
        <w:gridCol w:w="1052"/>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Payroll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accrued 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Conduit Tech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the Company acquired 100% of the outstanding equity of Conduit Tech, Inc. (“Conduit”) for a total purchase consideration of $19.8 million, net of cash acquired of $6.3 million. The acquisition of Conduit has allowed the Company to integrate Conduit’s HVAC design and sales proposal platform and enablement tools within its suite of solutions. In connection with the acquisition, the Company granted equity awards to certain acquired employees and founders. These awards vest based solely on future service. The Company recognizes the related stock-based compensation expense over the requisite service periods.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purchase price allocation at the acquisition date, as well as the estimated useful lives of the acquired intangible assets (in thousands, except years):</w:t>
      </w:r>
    </w:p>
    <w:tbl>
      <w:tblPr>
        <w:tblW w:w="6677" w:type="dxa"/>
        <w:jc w:val="left"/>
        <w:tblInd w:w="0" w:type="dxa"/>
        <w:tblLayout w:type="fixed"/>
        <w:tblCellMar>
          <w:top w:w="28" w:type="dxa"/>
          <w:left w:w="28" w:type="dxa"/>
          <w:bottom w:w="28" w:type="dxa"/>
          <w:right w:w="28" w:type="dxa"/>
        </w:tblCellMar>
      </w:tblPr>
      <w:tblGrid>
        <w:gridCol w:w="4001"/>
        <w:gridCol w:w="546"/>
        <w:gridCol w:w="196"/>
        <w:gridCol w:w="601"/>
        <w:gridCol w:w="166"/>
        <w:gridCol w:w="146"/>
        <w:gridCol w:w="1021"/>
      </w:tblGrid>
      <w:tr>
        <w:trPr/>
        <w:tc>
          <w:tcPr>
            <w:tcW w:w="40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Lives</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Identifiable intangible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Trade name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Customer relationship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7</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Developed technology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16"/>
              </w:rPr>
            </w:pPr>
            <w:r>
              <w:rPr>
                <w:rFonts w:ascii="Times New Roman" w:hAnsi="Times New Roman"/>
                <w:color w:val="000000"/>
                <w:sz w:val="16"/>
              </w:rPr>
              <w:t>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intangible assets subject to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and 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identifiable net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purchase consideration, net of cash acquired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which primarily relates to expected synergies and expanded market opportunities that are expected to be achieved from the integration of Conduit with the Company’s offerings and assembled workforce, is not deductible for U.S. federal income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values of the developed technology and trade name were determined using the relief-from-royalty method, and the fair value of customer relationships was determined using the multiple-period excess earnings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forma financial information for the three and six months ended July 31, 2025, and revenue and losses for the period post-acquisition are not presented because such amounts are not material to the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incurred transaction costs of $1.1 million related to the acquisition of Conduit during fiscal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Intangible Assets and Goodwill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book values of intangible assets were as follows (in thousands, except years):</w:t>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23"/>
        <w:gridCol w:w="858"/>
        <w:gridCol w:w="166"/>
        <w:gridCol w:w="146"/>
        <w:gridCol w:w="196"/>
        <w:gridCol w:w="691"/>
        <w:gridCol w:w="146"/>
        <w:gridCol w:w="146"/>
        <w:gridCol w:w="97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 xml:space="preserve">Remaining </w:t>
              <w:br/>
              <w:t>Useful Life</w:t>
              <w:br/>
              <w:t>(years)</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0.7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23"/>
        <w:gridCol w:w="858"/>
        <w:gridCol w:w="166"/>
        <w:gridCol w:w="146"/>
        <w:gridCol w:w="196"/>
        <w:gridCol w:w="691"/>
        <w:gridCol w:w="146"/>
        <w:gridCol w:w="146"/>
        <w:gridCol w:w="97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 xml:space="preserve">Remaining </w:t>
              <w:br/>
              <w:t>Useful Life</w:t>
              <w:br/>
              <w:t>(years)</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0.7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Amortization expense for intangible assets was as follows for the three and six months ended July 31, 2026 and 2025 (in thousands):</w:t>
      </w:r>
    </w:p>
    <w:p>
      <w:pPr>
        <w:pStyle w:val="TextBody"/>
        <w:bidi w:val="0"/>
        <w:jc w:val="left"/>
        <w:rPr/>
      </w:pPr>
      <w:r>
        <w:rPr/>
        <w:t> </w:t>
      </w:r>
    </w:p>
    <w:tbl>
      <w:tblPr>
        <w:tblW w:w="7352" w:type="dxa"/>
        <w:jc w:val="left"/>
        <w:tblInd w:w="0" w:type="dxa"/>
        <w:tblLayout w:type="fixed"/>
        <w:tblCellMar>
          <w:top w:w="28" w:type="dxa"/>
          <w:left w:w="28" w:type="dxa"/>
          <w:bottom w:w="28" w:type="dxa"/>
          <w:right w:w="28" w:type="dxa"/>
        </w:tblCellMar>
      </w:tblPr>
      <w:tblGrid>
        <w:gridCol w:w="2251"/>
        <w:gridCol w:w="146"/>
        <w:gridCol w:w="244"/>
        <w:gridCol w:w="636"/>
        <w:gridCol w:w="181"/>
        <w:gridCol w:w="181"/>
        <w:gridCol w:w="244"/>
        <w:gridCol w:w="748"/>
        <w:gridCol w:w="146"/>
        <w:gridCol w:w="146"/>
        <w:gridCol w:w="212"/>
        <w:gridCol w:w="650"/>
        <w:gridCol w:w="157"/>
        <w:gridCol w:w="157"/>
        <w:gridCol w:w="212"/>
        <w:gridCol w:w="650"/>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w:t>
              <w:br/>
              <w: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19,707</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July 31, 2026, estimated future amortization expense related to the intangible assets is as follows (in thousands):</w:t>
      </w:r>
    </w:p>
    <w:p>
      <w:pPr>
        <w:pStyle w:val="TextBody"/>
        <w:bidi w:val="0"/>
        <w:jc w:val="left"/>
        <w:rPr/>
      </w:pPr>
      <w:r>
        <w:rPr/>
        <w:t> </w:t>
      </w:r>
    </w:p>
    <w:tbl>
      <w:tblPr>
        <w:tblW w:w="2575" w:type="dxa"/>
        <w:jc w:val="left"/>
        <w:tblInd w:w="0" w:type="dxa"/>
        <w:tblLayout w:type="fixed"/>
        <w:tblCellMar>
          <w:top w:w="28" w:type="dxa"/>
          <w:left w:w="28" w:type="dxa"/>
          <w:bottom w:w="28" w:type="dxa"/>
          <w:right w:w="28" w:type="dxa"/>
        </w:tblCellMar>
      </w:tblPr>
      <w:tblGrid>
        <w:gridCol w:w="1351"/>
        <w:gridCol w:w="146"/>
        <w:gridCol w:w="196"/>
        <w:gridCol w:w="69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was $860.3 million as of January 31, 2026 and remained unchanged as of July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was no impairment of goodwill during the six months ended July 31, 2026 and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sz w:val="20"/>
        </w:rPr>
      </w:pPr>
      <w:r>
        <w:rPr>
          <w:rFonts w:ascii="Times New Roman" w:hAnsi="Times New Roman"/>
          <w:b/>
          <w:color w:val="000000"/>
          <w:sz w:val="20"/>
        </w:rPr>
        <w:t>Debt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2023, the Company entered into a secured credit agreement (the “Original Credit Agreement”) with Wells Fargo Bank N.A., as administrative agent and collateral agent, and certain lenders. In September 2024, the Company amended the Original Credit Agreement (the “First Amendment”) to, among other things, convert its existing term loan to a new term loan balance and a revolving credit facility. On January 30, 2026, the Company entered into a second amendment (the “Second Amendment”) to the Original Credit Agreement (as amended by the First Amendment and the Second Amendment, the “Amended Credit Agreement”) that increased the total borrowing capacity of the revolving credit facility made available under the Amended Credit Agreement from $140.0 million to $250.0 million (the “Amended Revolver”) and extended the term of the Amended Credit Agreement through January 30, 2031.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Second Amendment (i) modified pricing and unused commitment fees payable under the Amended Credit Agreement to be based on total net leverage rather than recurring revenue, (ii) replaced the recurring revenue and liquidity financial covenants in the Original Credit Agreement with a total net leverage financial covenant, and (iii) modified certain customary negative covenants from the Original Credit Agreement, including liens, indebtedness, investments, dispositions, restricted payments and restricted debt payments, to provide us with more flexibility thereunder. Prior to entering into the Second Amendment, the Company voluntarily repaid, in full, the approximately $107.0 million term loan that was outstanding under the Original Credit Agreement. As of July 31, 2026, no loans were outstanding under the Amended Credit Agreement. The Amended Revolver will incur a 0.20% annual fee for undrawn amounts. If the Company borrows under the Amended Credit Agreement in the future, outstanding amounts will bear interest at a floating rate at the Company’s option of either (i) a term Secured Overnight Financing Rate (“SOFR”) based rate for a specified interest period plus an applicable margin, which ranges from 1.5% to 2.0% per annum based on the Company’s total net leverage ratio, or (ii) a base rate plus an applicable margin, which ranges from 0.5% to 1.0% per annum based on the Company’s total net leverage ratio. The Company also wrote off $1.5 million in unamortized debt discounts and issuance costs to loss on extinguishment of debt related to the termination of the term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 compliance with all covenants as of July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unsecured letters of credit issued in the face amount of $0.4 million and $0.6 million outstanding as of July 31, 2026 and January 31, 2026,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Noncancellable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long-term noncancellable agreements relate primarily to its cloud hosting arrangements and software subscriptions.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Estimated future minimum payments under the Company’s non-cancelable purchase commitments were $71.2 million and $97.8 million, as of July 31, 2026 and January 31, 2026, respectively. There were no material changes to the Company’s noncancellable commitments from those disclosed in the Company’s Annual Report on Form 10-K for the year ended January 31, 2026.</w:t>
      </w:r>
    </w:p>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ordinary course of business, the Company may become subject to legal proceedings, claims and litigation. Such matters are subject to many uncertainties and outcomes are not predictable with assurance. If the Company determines that it is probable that a loss has been incurred and the amount is reasonably estimable, the Company will record a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the Company was not subject to any currently pending legal matters or claims that could have a material adverse effect on its financial position, results of operations, or cash flows should such litigation be resolved unfavorably.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 may provide indemnifications of varying scope and terms to customers, vendors, lessors, investors, directors, officers, employees and other parties with respect to certain matters, including, but not limited to, losses arising out of the Company’s breach of such agreements, products or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is not subject to any material indemnification claims that are probable or reasonably possible, and has not made any cash payments under its indemnification agreements that had a material effect on the financial position, results of operations or cash flows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granted stock-based awards under the ServiceTitan, Inc. 2015 Stock Plan (the “2015 Stock Plan”) and the ServiceTitan, Inc. 2024 Incentive Award Plan (the “2024 Incentive Award Plan”). The Company stopped granting new stock-based awards under the 2015 Stock Plan on the date of its IPO. Pursuant to the terms of the 2024 Incentive Award Plan, additional shares of Class A common stock may “roll over” to the 2024 Incentive Award Plan in the event of the termination or lapse of stock options outstanding pursuant to the 2015 Stock Plan. As of July 31, 2026, there were 11,818,186 and 23,953,053 shares of common stock authorized and reserved for issuance under the 2015 Stock Plan and 2024 Incentive Award Plan,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there were 17,496,319 shares of common stock available for future issuance under the 2024 Incentive Award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 adopted the ServiceTitan, Inc. 2024 Employee Stock Purchase Plan in fiscal 2025 (the “2024 ESPP”) that would allow eligible employees to purchase shares of the Company’s Class A common stock at periodic intervals using accumulated payroll deductions. As of July 31, 2026, there were 4,367,264 shares authorized under the 2024 ESPP. As of July 31, 2026, the first offering period under the 2024 ESPP had not commenced.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Conduit acquisition, the Company assumed the Conduit Tech, Inc. 2022 Stock Plan (the “Conduit Plan”) and each restricted stock unit (“RSU”) outstanding under the Conduit Plan that was held by an employee of Conduit immediately following the acquisition of Conduit (each, a “Conduit RSU”). Each Conduit RSU was converted into an RSU of the Company to acquire shares of the Company’s Class A common stock on the same terms and conditions as the Conduit RSUs, including with respect to the time-based vesting conditions. As of July 31, 2026, there were 13,172 shares of Class A common stock issuable pursuant to the Conduit RSUs under the Conduit Plan. The Company recognized $0.9 million and $1.8 million of stock-based compensation expense in the three and six months ended July 31, 2026, respectively, relating to the Conduit RSUs, and unrecognized stock-based compensation expense was $0.9 million as of July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there were 52,054 shares of restricted Class A common stock (restricted stock awards or “RSAs”) constituting revested Conduit founders’ consideration that will be released from a risk of forfeiture over a three-year period, with one-third of the shares released on the first anniversary of the closing of the Company’s acquisition of Conduit, and the remaining shares released in equal amounts every quarter thereafter for the remaining two years. The Company recognized stock-based compensation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$0.5 million and $0.9 million in the three and six months ended July 31, 2026, respectively, relating to these shares, and unrecognized stock-based compensation expense was $3.8 million as of July 31,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stock-based compensation expense by line item in the unaudited condensed consolidated statements of operations is summarized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5"/>
        <w:gridCol w:w="146"/>
        <w:gridCol w:w="260"/>
        <w:gridCol w:w="798"/>
        <w:gridCol w:w="146"/>
        <w:gridCol w:w="146"/>
        <w:gridCol w:w="297"/>
        <w:gridCol w:w="917"/>
        <w:gridCol w:w="146"/>
        <w:gridCol w:w="146"/>
        <w:gridCol w:w="196"/>
        <w:gridCol w:w="601"/>
        <w:gridCol w:w="146"/>
        <w:gridCol w:w="146"/>
        <w:gridCol w:w="260"/>
        <w:gridCol w:w="798"/>
        <w:gridCol w:w="146"/>
        <w:gridCol w:w="146"/>
        <w:gridCol w:w="297"/>
        <w:gridCol w:w="917"/>
        <w:gridCol w:w="146"/>
        <w:gridCol w:w="146"/>
        <w:gridCol w:w="196"/>
        <w:gridCol w:w="601"/>
        <w:gridCol w:w="196"/>
      </w:tblGrid>
      <w:tr>
        <w:trPr/>
        <w:tc>
          <w:tcPr>
            <w:tcW w:w="2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and RSU</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and RSU</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6"/>
        <w:gridCol w:w="146"/>
        <w:gridCol w:w="257"/>
        <w:gridCol w:w="790"/>
        <w:gridCol w:w="146"/>
        <w:gridCol w:w="146"/>
        <w:gridCol w:w="295"/>
        <w:gridCol w:w="910"/>
        <w:gridCol w:w="146"/>
        <w:gridCol w:w="146"/>
        <w:gridCol w:w="196"/>
        <w:gridCol w:w="691"/>
        <w:gridCol w:w="146"/>
        <w:gridCol w:w="146"/>
        <w:gridCol w:w="257"/>
        <w:gridCol w:w="790"/>
        <w:gridCol w:w="146"/>
        <w:gridCol w:w="146"/>
        <w:gridCol w:w="295"/>
        <w:gridCol w:w="910"/>
        <w:gridCol w:w="146"/>
        <w:gridCol w:w="146"/>
        <w:gridCol w:w="196"/>
        <w:gridCol w:w="601"/>
        <w:gridCol w:w="195"/>
      </w:tblGrid>
      <w:tr>
        <w:trPr/>
        <w:tc>
          <w:tcPr>
            <w:tcW w:w="2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and RSU</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and RSU</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53,478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93,056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Stock Options with Service-Only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Activity for stock options that contain service-only vesting conditions was as follows:</w:t>
      </w:r>
    </w:p>
    <w:p>
      <w:pPr>
        <w:pStyle w:val="TextBody"/>
        <w:bidi w:val="0"/>
        <w:jc w:val="both"/>
        <w:rPr/>
      </w:pPr>
      <w:r>
        <w:rPr/>
        <w:t> </w:t>
      </w:r>
    </w:p>
    <w:tbl>
      <w:tblPr>
        <w:tblW w:w="6150" w:type="dxa"/>
        <w:jc w:val="left"/>
        <w:tblInd w:w="0" w:type="dxa"/>
        <w:tblLayout w:type="fixed"/>
        <w:tblCellMar>
          <w:top w:w="28" w:type="dxa"/>
          <w:left w:w="28" w:type="dxa"/>
          <w:bottom w:w="28" w:type="dxa"/>
          <w:right w:w="28" w:type="dxa"/>
        </w:tblCellMar>
      </w:tblPr>
      <w:tblGrid>
        <w:gridCol w:w="2596"/>
        <w:gridCol w:w="146"/>
        <w:gridCol w:w="146"/>
        <w:gridCol w:w="826"/>
        <w:gridCol w:w="166"/>
        <w:gridCol w:w="146"/>
        <w:gridCol w:w="220"/>
        <w:gridCol w:w="576"/>
        <w:gridCol w:w="146"/>
        <w:gridCol w:w="146"/>
        <w:gridCol w:w="103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is no remaining unrecognized compensation cost related to stock options with service-only vesting conditions as of July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 with Performance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 activity for awards with performance conditions consisted of the following:</w:t>
      </w:r>
    </w:p>
    <w:p>
      <w:pPr>
        <w:pStyle w:val="TextBody"/>
        <w:bidi w:val="0"/>
        <w:jc w:val="both"/>
        <w:rPr/>
      </w:pPr>
      <w:r>
        <w:rPr/>
        <w:t> </w:t>
      </w:r>
    </w:p>
    <w:tbl>
      <w:tblPr>
        <w:tblW w:w="6075" w:type="dxa"/>
        <w:jc w:val="left"/>
        <w:tblInd w:w="0" w:type="dxa"/>
        <w:tblLayout w:type="fixed"/>
        <w:tblCellMar>
          <w:top w:w="28" w:type="dxa"/>
          <w:left w:w="28" w:type="dxa"/>
          <w:bottom w:w="28" w:type="dxa"/>
          <w:right w:w="28" w:type="dxa"/>
        </w:tblCellMar>
      </w:tblPr>
      <w:tblGrid>
        <w:gridCol w:w="2596"/>
        <w:gridCol w:w="146"/>
        <w:gridCol w:w="146"/>
        <w:gridCol w:w="751"/>
        <w:gridCol w:w="166"/>
        <w:gridCol w:w="146"/>
        <w:gridCol w:w="220"/>
        <w:gridCol w:w="576"/>
        <w:gridCol w:w="146"/>
        <w:gridCol w:w="146"/>
        <w:gridCol w:w="103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4.97</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4.43</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4.46</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July 31, 2026, the Co-Founders held options to purchase 340,676 shares of Class B common stock that vest upon the satisfaction of both a service and performance condition. The performance condition was satisfied upon the effectiveness of the IPO in fiscal 2025 and the service condition will be satisfied over a four-year period commencing on the IPO date with 25% having vested one year from the date of the IPO and the remainder vesting monthly thereafter. The awards expire ten years from issuance. Stock-based compensation expense for these stock options was not material in the three and six months ended July 31, 2026, respectively, and unrecognized stock-based compensation expense for these stock options was less than $0.2 million as of July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the Company had stock options outstanding to purchase 55,167 shares of Class A common stock that vest upon the satisfaction of both a service and performance condition. The performance condition was satisfied upon the effectiveness of the IPO in fiscal 2025 and the service condition will be satisfied over a one-year period commencing one year from the date of the IPO. The awards expire ten years from issuance. The Company recognized a credit of $0.6 million and $0.4 million in stock-based compensation expense for these stock options in the three and six months ended July 31, 2026, respectively, and unrecognized stock-based compensation expense for these stock options was less than $0.1 million as of July 31, 2026. The credit in stock-based compensation expense for the three and six months ended July 31, 2026 resulted primarily from award forfeitures related to an employee that terminated during the period.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RSUs with Service-Only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RSUs subject to service-only vesting condition requirements consisted of the following:</w:t>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2401"/>
        <w:gridCol w:w="146"/>
        <w:gridCol w:w="146"/>
        <w:gridCol w:w="826"/>
        <w:gridCol w:w="166"/>
        <w:gridCol w:w="146"/>
        <w:gridCol w:w="273"/>
        <w:gridCol w:w="717"/>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4,766,271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7,669,829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unrecognized stock-based compensation expense related to RSUs with service-only conditions as of July 31, 2026 was $572.8 million, which is expected to be recognized over a remaining weighted average period of approximately 3.32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RSUs with Performance or Market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 activity for awards with performance or market vesting conditions consisted of the following:</w:t>
      </w:r>
    </w:p>
    <w:p>
      <w:pPr>
        <w:pStyle w:val="TextBody"/>
        <w:bidi w:val="0"/>
        <w:jc w:val="both"/>
        <w:rPr/>
      </w:pPr>
      <w:r>
        <w:rPr/>
        <w:t> </w:t>
      </w:r>
    </w:p>
    <w:tbl>
      <w:tblPr>
        <w:tblW w:w="5012" w:type="dxa"/>
        <w:jc w:val="left"/>
        <w:tblInd w:w="0" w:type="dxa"/>
        <w:tblLayout w:type="fixed"/>
        <w:tblCellMar>
          <w:top w:w="28" w:type="dxa"/>
          <w:left w:w="28" w:type="dxa"/>
          <w:bottom w:w="28" w:type="dxa"/>
          <w:right w:w="28" w:type="dxa"/>
        </w:tblCellMar>
      </w:tblPr>
      <w:tblGrid>
        <w:gridCol w:w="2401"/>
        <w:gridCol w:w="146"/>
        <w:gridCol w:w="146"/>
        <w:gridCol w:w="826"/>
        <w:gridCol w:w="166"/>
        <w:gridCol w:w="146"/>
        <w:gridCol w:w="273"/>
        <w:gridCol w:w="717"/>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6,878,491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the Company had 356,972 RSUs outstanding that vest upon the satisfaction of both a performance and service condition, where the performance condition was satisfied upon the effectiveness of the IPO and the service condition is satisfied over a period of approximately four years from the date of grant. In addition, the Company had 38,431 RSUs outstanding that vest upon the satisfaction of a performance and a service condition, where the performance condition was satisfied upon the completion of the IPO and the service condition will be satisfied over four quarterly periods commencing approximately one year after the date of the IPO. During the three and six months ended July 31, 2026, the Company recognized stock-based compensation expense of $0.6 million and $3.4 million, respectively, related to these RSUs. These amounts include expense reversals associated with forfeitures resulting from an employee that terminated during the period. Unrecognized stock-based compensation expense for these RSUs was $5.6 million as of July 31, 2026. These RSUs are to be settled in Class A common stock upon vesting.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2024, the Company granted each of the Co-Founders an award of 3,241,544 performance-based RSUs (“Co-Founder RSUs”). Each performance-based RSU represents the right to be issued a share of Class B common stock following vesting. The performance-based RSUs vest based on achieving volume weighted-average closing trading prices of the Company’s common stock over a six-month or 90-day period, as applicable, ranging from $140.00 per share to $440.00 per share (the “stock price hurdle”), subject to the Co-Founders being employed as Chief Executive Officer, co-Chief Executive Officer or President as of the vesting date. Any RSUs for which the applicable stock price hurdle has not been achieved on or before October 21, 2034 will automatically be forfeited. The Company’s estimate of the grant date fair value of these RSUs of $263.6 million was estimated using a Monte Carlo simulation model that incorporates the likelihood of achieving the stock price hurdles. The Company commenced recognition of stock-based compensation expense upon completion of the IPO in fiscal 2025 over the estimated weighted-average derived service period of approximately five years. During the three and six months ended July 31, 2026, the Company recognized stock-based compensation expense of $13.5 million and $26.6 million, respectively, related to the Co-Founder RSUs. Unrecognized stock-based compensation expense for the Co-Founder RSUs was $168.4 million as of July 31, 2026 and is expected to be recognized over the remaining derived service period for each stock price hurdle tranche, unless the stock price hurdle is achieved prior to the end of derived service period in which case the expense for that stock price hurdle will be accelerated. As of July 31, 2026, the weighted average remaining derived service period for the Co-Founder RSUs was 3.3 years. The Co-Founder RSUs are to be settled in Class B common stock upon vesting.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ServiceTitan, Inc.</w:t>
      </w:r>
    </w:p>
    <w:p>
      <w:pPr>
        <w:pStyle w:val="TextBody"/>
        <w:bidi w:val="0"/>
        <w:jc w:val="left"/>
        <w:rPr>
          <w:rFonts w:ascii="Times New Roman" w:hAnsi="Times New Roman"/>
          <w:b/>
          <w:color w:val="000000"/>
          <w:sz w:val="24"/>
        </w:rPr>
      </w:pPr>
      <w:r>
        <w:rPr>
          <w:rFonts w:ascii="Times New Roman" w:hAnsi="Times New Roman"/>
          <w:b/>
          <w:color w:val="000000"/>
          <w:sz w:val="24"/>
        </w:rPr>
        <w:t>Notes to Condensed Consolidated Financial Statements</w:t>
      </w:r>
    </w:p>
    <w:p>
      <w:pPr>
        <w:pStyle w:val="TextBody"/>
        <w:pBdr>
          <w:bottom w:val="single" w:sz="8" w:space="1" w:color="000000"/>
        </w:pBdr>
        <w:bidi w:val="0"/>
        <w:jc w:val="left"/>
        <w:rPr>
          <w:rFonts w:ascii="Times New Roman" w:hAnsi="Times New Roman"/>
          <w:b/>
          <w:color w:val="000000"/>
          <w:sz w:val="24"/>
        </w:rPr>
      </w:pPr>
      <w:r>
        <w:rPr>
          <w:rFonts w:ascii="Times New Roman" w:hAnsi="Times New Roman"/>
          <w:b/>
          <w:color w:val="000000"/>
          <w:sz w:val="24"/>
        </w:rPr>
        <w:t>(unaudited)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calculates income tax expense (benefit) in interim periods by applying an estimated annual effective tax rate to income (loss) before income taxes and by calculating the tax effect of discrete items recognized during the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provision for income taxes differed from applying the U.S. federal statutory rate to the Company’s loss before income taxes primarily due to the effects of valuation allowances, foreign taxes, state taxes, and the deferred tax expense from the amortization of indefinite-lived tax amortizable goodwill.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(in thousands, except share and per share data):</w:t>
      </w:r>
    </w:p>
    <w:p>
      <w:pPr>
        <w:pStyle w:val="TextBody"/>
        <w:bidi w:val="0"/>
        <w:jc w:val="left"/>
        <w:rPr/>
      </w:pPr>
      <w:r>
        <w:rPr/>
        <w:t> </w:t>
      </w:r>
    </w:p>
    <w:tbl>
      <w:tblPr>
        <w:tblW w:w="9237" w:type="dxa"/>
        <w:jc w:val="left"/>
        <w:tblInd w:w="0" w:type="dxa"/>
        <w:tblLayout w:type="fixed"/>
        <w:tblCellMar>
          <w:top w:w="28" w:type="dxa"/>
          <w:left w:w="28" w:type="dxa"/>
          <w:bottom w:w="28" w:type="dxa"/>
          <w:right w:w="28" w:type="dxa"/>
        </w:tblCellMar>
      </w:tblPr>
      <w:tblGrid>
        <w:gridCol w:w="3496"/>
        <w:gridCol w:w="146"/>
        <w:gridCol w:w="196"/>
        <w:gridCol w:w="916"/>
        <w:gridCol w:w="166"/>
        <w:gridCol w:w="146"/>
        <w:gridCol w:w="196"/>
        <w:gridCol w:w="916"/>
        <w:gridCol w:w="166"/>
        <w:gridCol w:w="146"/>
        <w:gridCol w:w="196"/>
        <w:gridCol w:w="916"/>
        <w:gridCol w:w="166"/>
        <w:gridCol w:w="146"/>
        <w:gridCol w:w="196"/>
        <w:gridCol w:w="91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outstanding used in</w:t>
              <w:br/>
              <w:t>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95,863,240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91,687,907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95,440,743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91,041,726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securities were excluded from the computation of diluted net loss per share attributable to common stockholders as of July 31, 2026 and 2025 because including them would have been anti-dilutive:</w:t>
      </w:r>
    </w:p>
    <w:p>
      <w:pPr>
        <w:pStyle w:val="TextBody"/>
        <w:bidi w:val="0"/>
        <w:jc w:val="left"/>
        <w:rPr/>
      </w:pPr>
      <w:r>
        <w:rPr/>
        <w:t> </w:t>
      </w:r>
    </w:p>
    <w:tbl>
      <w:tblPr>
        <w:tblW w:w="6399" w:type="dxa"/>
        <w:jc w:val="left"/>
        <w:tblInd w:w="0" w:type="dxa"/>
        <w:tblLayout w:type="fixed"/>
        <w:tblCellMar>
          <w:top w:w="28" w:type="dxa"/>
          <w:left w:w="28" w:type="dxa"/>
          <w:bottom w:w="28" w:type="dxa"/>
          <w:right w:w="28" w:type="dxa"/>
        </w:tblCellMar>
      </w:tblPr>
      <w:tblGrid>
        <w:gridCol w:w="3826"/>
        <w:gridCol w:w="146"/>
        <w:gridCol w:w="146"/>
        <w:gridCol w:w="826"/>
        <w:gridCol w:w="146"/>
        <w:gridCol w:w="146"/>
        <w:gridCol w:w="146"/>
        <w:gridCol w:w="826"/>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with service-only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4,419,888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RSUs with service-only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7,669,829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5,288,879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with performance or market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early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RSAs with service-only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RSUs with performance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6,878,491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7,364,442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2" w:name="mda"/>
      <w:bookmarkEnd w:id="12"/>
      <w:r>
        <w:rPr>
          <w:rFonts w:ascii="Times New Roman" w:hAnsi="Times New Roman"/>
          <w:b/>
          <w:color w:val="231F2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included elsewhere in this Quarterly Report. This discussion contains forward-looking statements that involve risks and uncertainties and our actual results, events or circumstances could differ materially from those described in forward-looking statements. Factors that could cause or contribute to such differences include those identified below and those discussed in the section titled “Risk Factors” and other parts of this Quarterly Report. Our historical results are not necessarily indicative of the results that may be expected for any period in the future. The last day of our fiscal year is January 31, and our fiscal quarters end on April 30, July 31, October 31 and January 31. Our fiscal year ended January 31, 2026 is referred to herein as fiscal 2026. Unless the context otherwise requires, all references in this Quarterly Report to “we,” “us,” “our,” “our company,” and “ServiceTitan” refer to ServiceTitan, Inc. and its consolidated subsidiaries, and references to our “common stock” include our Class A common stock, Class B common stock and Class C common stock.</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ServiceTitan is the operating system that powers the trades.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modernizing a large and technologically underserved industry—an industry commonly referred to as the “trades.” The trades consist of the collection of field service activities required to install, maintain, and service the infrastructure and systems of residences and commercial buildings.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ServiceTitan was born in the trades and built for the trades. Our founders, Ara Mahdessian and Vahe Kuzoyan (our “Co-Founders”), are the sons of trades business owners and founded ServiceTitan to provide tradespeople, like their parents, with technology that is purpose built to help trades businesses thrive.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software provides an end-to-end, AI-powered cloud-based software platform that connects, manages, and automates a wide array of business workflows such as advertising, job scheduling and management, dispatching, generating estimates and invoices, payment processing and more. Tradespeople spend their days interfacing with the ServiceTitan platform across what we believe to be the five most business-critical functions, or the “core centers of gravity,” inside a trades business: CRM (customer relationship management, including sales enablement, marketing automation and customer service), FSM (field service management, including scheduling and dispatching), ERP (enterprise resource planning, including inventory), HCM (human capital management, including compensation and payroll integration) and FinTech (including payments and third-party consumer financing). By offering interoperable capabilities in all five centers of gravity, we continuously capture comprehensive data insights across key workflows in a trades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close customer proximity and deep connection with the industry enable us to make evidence-based recommendations that can improve our customers’ business outcomes by identifying and replicating what works and fixing what does not. Our insights are augmented by the vast amounts of structured and unstructured data that we synthesize into best practices. These insights are then delivered across automated workflows, many of which we enhance with artificial intelligence (“AI”), to address the distinct vertical-specific needs of the trades. In addition, in fiscal 2026, we introduced Max, which packages our most advanced functionality and AI features with expert guidance to unlock end-to-end AI automation.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platform enables impactful outcomes for our customers, including accelerating revenue and driving operational efficiency, all while improving the experience for both end customers and contractors. As customers experience the significant business acceleration benefits of our platform, we have often observed our customers hire more technicians, increase </w:t>
      </w:r>
      <w:r>
        <w:rPr>
          <w:rFonts w:ascii="Times New Roman" w:hAnsi="Times New Roman"/>
          <w:color w:val="231F20"/>
          <w:sz w:val="20"/>
        </w:rPr>
        <w:t>gross transaction volume (</w:t>
      </w:r>
      <w:r>
        <w:rPr>
          <w:rFonts w:ascii="Times New Roman" w:hAnsi="Times New Roman"/>
          <w:color w:val="000000"/>
          <w:sz w:val="20"/>
        </w:rPr>
        <w:t>“</w:t>
      </w:r>
      <w:r>
        <w:rPr>
          <w:rFonts w:ascii="Times New Roman" w:hAnsi="Times New Roman"/>
          <w:color w:val="231F20"/>
          <w:sz w:val="20"/>
        </w:rPr>
        <w:t>GTV</w:t>
      </w:r>
      <w:r>
        <w:rPr>
          <w:rFonts w:ascii="Times New Roman" w:hAnsi="Times New Roman"/>
          <w:color w:val="000000"/>
          <w:sz w:val="20"/>
        </w:rPr>
        <w:t>”</w:t>
      </w:r>
      <w:r>
        <w:rPr>
          <w:rFonts w:ascii="Times New Roman" w:hAnsi="Times New Roman"/>
          <w:color w:val="231F20"/>
          <w:sz w:val="20"/>
        </w:rPr>
        <w:t>)</w:t>
      </w:r>
      <w:r>
        <w:rPr>
          <w:rFonts w:ascii="Times New Roman" w:hAnsi="Times New Roman"/>
          <w:color w:val="000000"/>
          <w:sz w:val="20"/>
        </w:rPr>
        <w:t>, representing total dollars invoiced by our customers through our platform, and adopt more add-on products, including Max. Increased customer adoption of our platform leads to further data and insights, allowing us to build more differentiated features and address opportunities in new trades, use cases and customer subsegments. All of this allows us to drive more growth and efficiency for customers, delivering considerable return on investment (“ROI”) in our products. For the three and six months ended July 31, 2026, we processed $26.8 billion and $48.5 billion of GTV, respectively, and for the three and six months ended July 31, 2025, we processed $22.9 billion and $40.7 billion of GTV,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serve customers ranging from family-owned businesses with a few employees to large enterprises with a national footprint, some of which are an aggregation of multiple customers through a franchise network or other common buying partners. We define a customer as a parent organization, which may have multiple locations, brands or subsidiaries, that has been billed in the prior three months, and of those customers we define “Active Customers” as customers with over $10,000 of annualized billings. As of January 31, 2026, we had approximately 10,800 Active Customers representing over 97% of our annualized billings for fiscal 2026. In April 2026, we surpassed 2,000 total customers with annualized billings greater than $100,000, which represented more than 60% of our total annualized billings as of April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Key Factors Affecting Our Business Performance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the growth and future success of our business is dependent upon many factors, including those described below. </w:t>
      </w:r>
    </w:p>
    <w:p>
      <w:pPr>
        <w:pStyle w:val="TextBody"/>
        <w:bidi w:val="0"/>
        <w:spacing w:before="360" w:after="283"/>
        <w:jc w:val="both"/>
        <w:rPr>
          <w:rFonts w:ascii="Times New Roman" w:hAnsi="Times New Roman"/>
          <w:sz w:val="20"/>
        </w:rPr>
      </w:pPr>
      <w:r>
        <w:rPr>
          <w:rFonts w:ascii="Times New Roman" w:hAnsi="Times New Roman"/>
          <w:b/>
          <w:i/>
          <w:color w:val="000000"/>
          <w:sz w:val="20"/>
        </w:rPr>
        <w:t>Increase GTV on Our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Grow with Our Customers.</w:t>
      </w:r>
      <w:r>
        <w:rPr>
          <w:rFonts w:ascii="Times New Roman" w:hAnsi="Times New Roman"/>
          <w:color w:val="000000"/>
          <w:sz w:val="20"/>
        </w:rPr>
        <w:t xml:space="preserve"> Our long-term revenue growth is correlated with the success of customers on our platform, and we strive to support the growth of their businesses. We can improve outcomes for our customers across every stage of the go-to-market funnel, from determining which end customers to target, marketing to those end customers effectively and converting and retaining end customers. We empower technicians with the tools and training necessary to drive better end-customer outcomes that, in turn, can generate higher ticket sizes and more repeatable work orders. As our customers grow on our platform and expand into additional locations, generating more sales, hiring more technicians and automating more workflows, they can also significantly increase GTV, and, in turn, drive our growth and financial success. </w:t>
      </w:r>
    </w:p>
    <w:p>
      <w:pPr>
        <w:pStyle w:val="TextBody"/>
        <w:bidi w:val="0"/>
        <w:spacing w:before="240" w:after="283"/>
        <w:jc w:val="both"/>
        <w:rPr>
          <w:rFonts w:ascii="Times New Roman" w:hAnsi="Times New Roman"/>
          <w:sz w:val="20"/>
        </w:rPr>
      </w:pPr>
      <w:r>
        <w:rPr>
          <w:rFonts w:ascii="Times New Roman" w:hAnsi="Times New Roman"/>
          <w:i/>
          <w:color w:val="000000"/>
          <w:sz w:val="20"/>
        </w:rPr>
        <w:t>Increase GTV By Serving Additional Customers in Existing Trades and Markets.</w:t>
      </w:r>
      <w:r>
        <w:rPr>
          <w:rFonts w:ascii="Times New Roman" w:hAnsi="Times New Roman"/>
          <w:color w:val="000000"/>
          <w:sz w:val="20"/>
        </w:rPr>
        <w:t xml:space="preserve"> Increasing our GTV also depends on our ability to serve additional customers in existing trades and markets. As our platform has deepened and expanded in features, we have been able to serve larger customers. The trades industry is also experiencing an influx of professional operators, including private equity owners, who are investing in and consolidating trades businesses, in many cases on our platform. Because of these dynamics, we focus on increasing the GTV on our platform, rather than new customer count. We believe our market opportunity is substantial, and we expect to continue to make significant investments across all aspects of our business to continue to increase the GTV on our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designed our platform to address key workflows within a trades business. In contrast, existing solutions are difficult to adopt and resource-intensive to stitch together in a manner that would address multiple workflows and generate return on investment for trades businesses. This gives us a substantial opportunity to continue to invest in our platform and in our sales and marketing efforts to add more customers in, or help existing customers expand into, the expansive set of trade verticals we have penetrated so far. We also believe that there is further potential to expand our customer base by productizing additional capabilities for these trade verticals, particularly AI-powered capabilities.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Increase GTV By Entering New Trades and Markets. </w:t>
      </w:r>
      <w:r>
        <w:rPr>
          <w:rFonts w:ascii="Times New Roman" w:hAnsi="Times New Roman"/>
          <w:color w:val="000000"/>
          <w:sz w:val="20"/>
        </w:rPr>
        <w:t xml:space="preserve">ServiceTitan began by serving a single trade—plumbing—and focusing on residential homes, and we now serve many trades that serve all sites: homes, businesses and even new construction. As we have penetrated new trades over time, we have significantly expanded our potential customer reach, unlocking new markets to drive future customer growth. We plan to continue to innovate and expand into new trade verticals in the long-term through our playbook of harnessing common features of the trades industry, while also identifying and building features specific to each new trade vertical. It takes significant time, management attention, and research and development to identify new trade verticals to enter and build out functionalities on top of our common products, as well as investment in sales and marketing resources, to ensure we can successfully go to market with an end-to-end offering in such new verticals. With the introduction of AI technology generally and our Max offering specifically, we believe we have an opportunity to drive significant additional value for our customers. As a result, to enable increased investments in and attention on Max, during the quarter ended July 31, 2026, we elected to tighten our focus on existing commercial trades — like mechanical, electrical, plumbing and landscaping — and residential roofing, rather than the planned expansion of our offering to new trades within commercial or broader residential exteriors categories. We expect this focus on existing trades to allow us to execute on existing investments while also accelerating our shift towards Max and internal AI, addressing what we believe to be our most important opportunities today. We also believe that there is a significant opportunity to strategically expand the usage of our platform outside of the United States and Canada over time based on the current needs of different regions.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Retain and Expand Our Existing Customer Relationships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retain and increase the revenue we earn from existing customers is a key driver of our future business performance and depends on our customers renewing their subscriptions to our platform, expanding their number of users, increasing their usage of existing solutions and adopting additional products, driven by the three key strategies described below. We have observed that as customers experience the significant business acceleration benefits of our platform, they typically not only remain on our platform but also often hire more technicians and adopt more of our products.</w:t>
      </w:r>
    </w:p>
    <w:p>
      <w:pPr>
        <w:pStyle w:val="TextBody"/>
        <w:bidi w:val="0"/>
        <w:spacing w:before="240" w:after="283"/>
        <w:jc w:val="both"/>
        <w:rPr>
          <w:rFonts w:ascii="Times New Roman" w:hAnsi="Times New Roman"/>
          <w:sz w:val="20"/>
        </w:rPr>
      </w:pPr>
      <w:r>
        <w:rPr>
          <w:rFonts w:ascii="Times New Roman" w:hAnsi="Times New Roman"/>
          <w:i/>
          <w:color w:val="000000"/>
          <w:sz w:val="20"/>
        </w:rPr>
        <w:t>Retain Our Customers.</w:t>
      </w:r>
      <w:r>
        <w:rPr>
          <w:rFonts w:ascii="Times New Roman" w:hAnsi="Times New Roman"/>
          <w:color w:val="000000"/>
          <w:sz w:val="20"/>
        </w:rPr>
        <w:t xml:space="preserve"> Our customer relationship begins with a thorough onboarding process. Then, our customers deploy our platform end-to-end across their entire organization, meaning the ServiceTitan platform powers their workflows and is the primary interface used by their employees. As a result, we become deeply embedded as the operating system that powers our customers’ businesses. Over time, our Customer Success Management teams work closely with our customers to assist them in fully utilizing our platform. </w:t>
      </w:r>
    </w:p>
    <w:p>
      <w:pPr>
        <w:pStyle w:val="TextBody"/>
        <w:bidi w:val="0"/>
        <w:spacing w:before="240" w:after="283"/>
        <w:jc w:val="both"/>
        <w:rPr>
          <w:rFonts w:ascii="Times New Roman" w:hAnsi="Times New Roman"/>
          <w:sz w:val="20"/>
        </w:rPr>
      </w:pPr>
      <w:r>
        <w:rPr>
          <w:rFonts w:ascii="Times New Roman" w:hAnsi="Times New Roman"/>
          <w:i/>
          <w:color w:val="000000"/>
          <w:sz w:val="20"/>
        </w:rPr>
        <w:t>Drive More Value to Our Customers through Adoption of Add-on Products and Max</w:t>
      </w:r>
      <w:r>
        <w:rPr>
          <w:rFonts w:ascii="Times New Roman" w:hAnsi="Times New Roman"/>
          <w:color w:val="000000"/>
          <w:sz w:val="20"/>
        </w:rPr>
        <w:t xml:space="preserve">. As we demonstrate the high ROI of our products to our customers, and as our customers grow and further professionalize, we are able to sell more add-on products to them and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share of wallet, which we measure as the portion of our customers’ GTV that we are able to earn. We efficiently expand our customer relationships over time to serve their additional needs and automate more workflows through our platform. We believe that the more our customers use our platform to power their workflows, the more value we deliver to them, and the higher revenue we can earn from them. As a result, we continue to invest in research and development to improve the functionality of our existing Core and add-on products, including our FinTech and upsell products. We also believe that the power of AI solutions paired with the existing end-to-end nature of our platform further expands our opportunity to drive significant additional value for our customers, and increase our share of wallet, through adoption of Max. Our ability to increase adoption of our add-on products and Max will depend on customer satisfaction with our platform, competition, pricing and our ability to continuously demonstrate the value proposition of our add-on products and Max. We plan to continue investing in sales and marketing, thought leadership, industry resources and evolving our professional services and customer success teams to focus on the adoption of Max and driving additional expanded value to customers on our platform.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Build New Products to Extend Our Platform. </w:t>
      </w:r>
      <w:r>
        <w:rPr>
          <w:rFonts w:ascii="Times New Roman" w:hAnsi="Times New Roman"/>
          <w:color w:val="000000"/>
          <w:sz w:val="20"/>
        </w:rPr>
        <w:t xml:space="preserve">We have a culture of significant innovation evidenced by the extension of our platform’s capabilities over time, producing new workflows across trades. We intend to continue to judiciously invest in research and development to expand the functionality of our platform, to develop and bundle new add-on products and to broaden our capabilities to address new market opportunities across trades. Powering key workflows of our customers through our Core product positions us to deliver value-added upsell (including Pro, Max, and FinTech) and other AI-powered products that complement our Core product. We build upsell products as integrated add-ons to our expansive Core product offering to deliver our customers business outcomes in a way that we believe no individual, standalone point solution can. As we continue to innovate and execute on our product roadmap, we believe customers will continue to find our new products additive and therefore continue to adopt them. We believe that there is further potential to expand our market opportunity by building new products, particularly those powered by AI, to earn an even greater potential share of our customers’ GTV in the future. While our ingrained industry position and exposure to the trades facilitate efficient product development opportunities, innovating new products, particularly those powered by AI, will continue to require substantial time and research and development resources.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Seasonality and Other Fluctuations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demand for our customers’ services tends to increase during the second quarter of our fiscal year, as hot weather in the summer months typically results in higher demand for trades businesses. Given that our revenue model allows our customers to scale as needed (processing more GTV through our platform and adding technicians), our sequential revenue growth has historically been strongest in the second quarter of each fiscal year. This is especially true for our usage-based revenue, which is directly tied to the amount of GTV processed through our platform. Our historical growth—including through the acquisition of new customers and the launch of new products, particularly subscription-based products that are less seasonally impacted than our usage-based products—may have made it more difficult to evaluate the impact of seasonality on our business by masking the full impact of the heightened quarter-over-quarter growth we have generally experienced in the second quarter of each fiscal year. Going forward, we believe seasonality may continue to impact our quarterly results, potentially becoming more pronounced, or evolving to reveal novel seasonal trends.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recurring operational events that occur through our fiscal year have also historically impacted our financial performance. Specifically, we typically experience higher operating cash outflows during our first fiscal quarter due to payment of annual corporate bonuses. Additionally, our third fiscal quarter performance typically reflects increased sales and marketing expense related to our annual user conferences, Ignite and Pantheon.</w:t>
      </w:r>
    </w:p>
    <w:p>
      <w:pPr>
        <w:pStyle w:val="TextBody"/>
        <w:bidi w:val="0"/>
        <w:spacing w:before="360" w:after="283"/>
        <w:jc w:val="both"/>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two general categories of revenue as set forth below: </w:t>
      </w:r>
    </w:p>
    <w:p>
      <w:pPr>
        <w:pStyle w:val="TextBody"/>
        <w:bidi w:val="0"/>
        <w:spacing w:before="360" w:after="283"/>
        <w:jc w:val="both"/>
        <w:rPr>
          <w:rFonts w:ascii="Times New Roman" w:hAnsi="Times New Roman"/>
          <w:sz w:val="20"/>
        </w:rPr>
      </w:pPr>
      <w:r>
        <w:rPr>
          <w:rFonts w:ascii="Times New Roman" w:hAnsi="Times New Roman"/>
          <w:i/>
          <w:color w:val="000000"/>
          <w:sz w:val="20"/>
        </w:rPr>
        <w:t>Platform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principally generate platform revenue through (i) subscription revenue generated from access to and use of our platform, including subscriptions to our Core and certain upsell products, and (ii) usage-based revenue generated from the transactions using our FinTech solutions and usage of certain upsell products and other usage-based services. Our customer contracts are generally based on the number of users, mix of products, number of end customers and the amount of GTV.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offer tiered subscription plans for our Core and upsell products with varying contract lengths. Pursuant to these subscription contracts our customers do not have the ability to take possession of our proprietary software. For new customers, we primarily enter into either annual or multi-year subscription agreements with contract terms typically ranging from 12 to 36 months; however, certain upsell product and legacy customers are on month-to-month contracts. In nearly all cases, these contracts (monthly, annual, or multi-year) are renewed automatically unless cancelled in advance. We generally bill our customers on a monthly basis in advance of services, regardless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240" w:after="283"/>
        <w:jc w:val="both"/>
        <w:rPr>
          <w:rFonts w:ascii="Times New Roman" w:hAnsi="Times New Roman"/>
          <w:sz w:val="13"/>
        </w:rPr>
      </w:pPr>
      <w:r>
        <w:rPr>
          <w:rFonts w:ascii="Times New Roman" w:hAnsi="Times New Roman"/>
          <w:color w:val="000000"/>
          <w:sz w:val="20"/>
        </w:rPr>
        <w:t>of contract term. In some cases for certain usage-based products, the customer is billed in arrears. Pricing for these subscriptions are driven by the features included in the package and are linked to the size of the customer’s business, generally based on the number of field technicians at the customer but in some cases directly tied to the number of end customers or the customer’s revenue. In this way, our success is linked to the growth of our customers, which we measure through our net dollar retention rate. Our net dollar retention rate</w:t>
      </w:r>
      <w:r>
        <w:rPr>
          <w:rFonts w:ascii="Times New Roman" w:hAnsi="Times New Roman"/>
          <w:color w:val="000000"/>
          <w:sz w:val="13"/>
        </w:rPr>
        <w:t xml:space="preserve">1 </w:t>
      </w:r>
      <w:r>
        <w:rPr>
          <w:rFonts w:ascii="Times New Roman" w:hAnsi="Times New Roman"/>
          <w:color w:val="000000"/>
          <w:sz w:val="20"/>
        </w:rPr>
        <w:t>was over 110% for the three months ended July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subscription fees are received in advance of providing the related services, we record deferred revenue on our consolidated balance sheet and recognize the revenue ratably over the related subscription period. We recognize a contract asset when revenue has been recognized but our right to consideration from the customer is conditional upon our future performance. Contract assets are transferred to accounts receivable when our right to the consideration becomes unconditional.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Usage-based services primarily consist of payment processing where we connect to third-party processors to allow our customers to accept payments, primarily credit and debit cards, and also includes end-customer financing solutions and other forms of payment. The third-party processor determines the eligibility of the end customer to participate in the programs, provides the payment settlement and financing options to the end customer and is responsible for the provision of the payment or financing services. We receive a fee from the third-party processors, depending on the size and type of the transaction, which we recognize net of interchange and other direct expenses which are passed onto the customer. Revenue from financing and processing payments is recognized at the time of the transaction. In addition to payment processing revenue, we have a number of upsell products that generate revenue depending on the level of usage, which we recognize monthly in arrears based on consumption. Usage revenue also includes fees we earn from third-party partners based on transactions or customer activity facilitated through our platform, which we recognize in the period in which the underlying activity occurs. In addition, usage-based revenue also includes revenue from our Virtual Agents, which is consumption-based and recognized in the period in which the underlying usage occurs.</w:t>
      </w:r>
    </w:p>
    <w:p>
      <w:pPr>
        <w:pStyle w:val="TextBody"/>
        <w:bidi w:val="0"/>
        <w:spacing w:before="120" w:after="283"/>
        <w:jc w:val="both"/>
        <w:rPr>
          <w:rFonts w:ascii="Times New Roman" w:hAnsi="Times New Roman"/>
          <w:sz w:val="20"/>
        </w:rPr>
      </w:pPr>
      <w:r>
        <w:rPr>
          <w:rFonts w:ascii="Times New Roman" w:hAnsi="Times New Roman"/>
          <w:i/>
          <w:color w:val="000000"/>
          <w:sz w:val="20"/>
        </w:rPr>
        <w:t>Professional Services and Other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and other revenue is primarily derived from services we provide to our customers, principally onboarding, training, and some ongoing professional services. Professional services and other revenue also includes revenue generated from our live voice and chat services and certain other ancillary hardware products and services sold to customers. Fees for these professional services are generally invoiced separately at the commencement of the contract or as ordered by the customer. Revenue is recognized for professional services as the services are performed or products are delivered.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Max Revenue Impact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seen, and expect to continue to see, a higher proportion of our new deal volume coming from upsell-based Max deals. Unlike our Core subscription revenue, which is recognized ratably over the term of the contract, upsell Max-related subscription revenue is recognized as it is billed. Because Max requires substantial change management, we typically do not bill subscription fees for the first quarter of an upsell Max contract, and we have also elected not to charge existing customers an onboarding fee when transitioning to Max. As a result of these factors, we expect both our platform revenue and professional services revenue to grow at a slower pace for the remainder of fiscal 2027.</w:t>
      </w:r>
    </w:p>
    <w:p>
      <w:pPr>
        <w:pStyle w:val="TextBody"/>
        <w:bidi w:val="0"/>
        <w:spacing w:before="360" w:after="283"/>
        <w:jc w:val="both"/>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platform revenue consists of personnel-related costs and costs related to the provisioning of our platform services. Personnel-related costs primarily include salary, employee benefits, bonuses and stock-based compensation related to our customer support team and certain customer success personnel. Costs related to the provisioning of our platform services are primarily comprised of fees paid to third-party service providers associated with delivery of upsell and FinTech products, platform infrastructure and server costs, call tracking fees, and payment processing fees. In addition, cost of platform revenue includes amortization of certain acquired intangible assets, amortization of capitalized internal-use software costs directly related to our cloud-based software solution and allocated overhead, which we define as costs such as depreciation, rent, utilities, and other facilities-related costs that are allocated across our expense categories based on headcount.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cost of platform revenue to increase in absolute dollars as the adoption and usage of our platform and product offerings increase.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__________</w:t>
      </w:r>
    </w:p>
    <w:p>
      <w:pPr>
        <w:pStyle w:val="TextBody"/>
        <w:bidi w:val="0"/>
        <w:spacing w:lineRule="auto" w:line="360"/>
        <w:jc w:val="both"/>
        <w:rPr>
          <w:rFonts w:ascii="Times New Roman" w:hAnsi="Times New Roman"/>
          <w:sz w:val="9"/>
        </w:rPr>
      </w:pPr>
      <w:r>
        <w:rPr>
          <w:rFonts w:ascii="Times New Roman" w:hAnsi="Times New Roman"/>
          <w:color w:val="000000"/>
          <w:sz w:val="9"/>
        </w:rPr>
        <w:t xml:space="preserve">1 </w:t>
      </w:r>
      <w:r>
        <w:rPr>
          <w:rFonts w:ascii="Times New Roman" w:hAnsi="Times New Roman"/>
          <w:color w:val="000000"/>
          <w:sz w:val="14"/>
        </w:rPr>
        <w:t>Our net dollar retention rate measures the increase in annualized billings across our existing customer base by comparing the annualized billings from the same set of customers across comparable periods. To calculate our net dollar retention rate as of a given quarter, we first calculate annualized billings from the cohort of all customers billed in the same quarter in the prior year (the “prior period annualized billings”). We then calculate annualized billings from these same customers as of the current quarter (the “current period annualized billings”). Current period annualized</w:t>
      </w:r>
      <w:r>
        <w:rPr>
          <w:rFonts w:ascii="Times New Roman" w:hAnsi="Times New Roman"/>
          <w:color w:val="000000"/>
          <w:sz w:val="9"/>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4"/>
        </w:rPr>
      </w:pPr>
      <w:r>
        <w:rPr>
          <w:rFonts w:ascii="Times New Roman" w:hAnsi="Times New Roman"/>
          <w:color w:val="000000"/>
          <w:sz w:val="14"/>
        </w:rPr>
        <w:t xml:space="preserve">billings includes the effect of any expansion, contraction or churn over the trailing 12 months. We divide (a) current period annualized billings by (b) prior period annualized billings to arrive at the net dollar retention rate. When calculating net dollar retention rate, we do not include the billings from any customers that were acquired as the result of our acquisition of a business until the completion of the first full quarter following the one-year anniversary of the acquisition. </w:t>
      </w:r>
    </w:p>
    <w:p>
      <w:pPr>
        <w:pStyle w:val="TextBody"/>
        <w:bidi w:val="0"/>
        <w:spacing w:before="240" w:after="283"/>
        <w:jc w:val="both"/>
        <w:rPr>
          <w:rFonts w:ascii="Times New Roman" w:hAnsi="Times New Roman"/>
          <w:color w:val="000000"/>
          <w:sz w:val="14"/>
        </w:rPr>
      </w:pPr>
      <w:r>
        <w:rPr>
          <w:rFonts w:ascii="Times New Roman" w:hAnsi="Times New Roman"/>
          <w:color w:val="000000"/>
          <w:sz w:val="14"/>
        </w:rPr>
        <w:t>We define annualized billings for a given quarter as the annualized value of the quarterly amount invoiced for our Core and upsell products, net of reserves, and the quarterly revenue recognized for our usage-based products. Contracts for our platform solutions range from monthly to multi-year. While monthly subscribers as a group have historically maintained or increased their subscriptions over time, there is no guarantee that any particular customer on a monthly subscription will renew its subscription in any given month, and therefore the calculation of annualized billings for these monthly subscriptions may not accurately reflect revenue to be received over a 12-month period from such customers. There may be seasonal fluctuations in annualized billings as a result of heightened demand for our customers during peak times. Annualized billings should be viewed independently of, and not as a replacement for, revenue and does not represent our revenue on an annualized basis.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Services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and other cost of revenue consists primarily of personnel-related costs in connection with providing customer onboarding and customer implementation, live voice and chat services. Personnel-related costs primarily include salary, employee benefits, bonuses and stock-based compensation. Professional services and other cost of revenue also includes amortization of certain acquired intangible assets, allocated overhead, and the cost of other ancillary hardware products and services sold to customers. Professional services and other cost of revenue historically has exceeded professional services and other revenue as we invest in providing customers with implementation and onboarding services to enhance customer success. We expect our cost of professional services and other revenue to increase in absolute dollars as the adoption of our product offerings for both new and existing customers increases, including the investment in our customers transition to Max.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consist of sales and marketing, research and development and general and administrative expenses.</w:t>
      </w:r>
    </w:p>
    <w:p>
      <w:pPr>
        <w:pStyle w:val="TextBody"/>
        <w:bidi w:val="0"/>
        <w:spacing w:before="360" w:after="283"/>
        <w:jc w:val="both"/>
        <w:rPr>
          <w:rFonts w:ascii="Times New Roman" w:hAnsi="Times New Roman"/>
          <w:sz w:val="20"/>
        </w:rPr>
      </w:pPr>
      <w:r>
        <w:rPr>
          <w:rFonts w:ascii="Times New Roman" w:hAnsi="Times New Roman"/>
          <w:i/>
          <w:color w:val="000000"/>
          <w:sz w:val="20"/>
        </w:rPr>
        <w:t>Sales and Marketing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consists primarily of personnel-related costs, consulting costs and other costs incurred in connection with our sales and marketing and certain customer success efforts. Personnel-related costs primarily include salary, commissions, employee benefits, bonuses and stock-based compensation for our outbound sales personnel that focus on new customer acquisition and for our customer success personnel that focus on expanding adoption of our products at existing customers. Sales and marketing expense also includes marketing and advertising expenses, such as our annual customer conferences, Pantheon and Ignite, and travel and trade show expenses, amortization of acquired customer intangible assets and allocated overhead. Our annual customer conferences are significant sales and marketing events, so we therefore expect an increase in sales and marketing expense during the fiscal third quarter when they occur. We expect that sales and marketing expense will increase on an absolute dollar basis as we invest to grow our business. We plan to continue to expand sales and marketing efforts to attract new customers, retain existing customers and increase revenue from both new and existing customers by adding sales personnel.</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consists primarily of personnel-related and other costs incurred in connection with product management and development efforts. Personnel-related costs primarily include salary, employee benefits, bonuses and stock-based compensation. Research and development expense also includes fees to third-party product development resources, infrastructure and server costs, inference costs, and allocated overhead costs. We expect that research and development expense will increase on an absolute dollar basis as we invest to build, enhance, maintain and scale our products. </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consists primarily of personnel-related costs for our executive, finance, legal, information systems, operations and human resource teams. Personnel-related costs primarily include salary, employee benefits, bonuses and stock-based compensation. General and administrative expense also includes professional fees, other outside consulting expenses, acquisition-related expenses and allocated overhead. We expect that general and administrative expense will increase on an absolute dollar basis, but over time decrease as a percentage of total revenue, as we focus on the efficiency of our processes and systems that will enable our internal support functions to scale with the growth of our business. We expect increases to general and administrative expense to support our growth and as we continue to incur the costs of compliance associated with being a public company, including increased accounting and legal expenses. </w:t>
      </w:r>
    </w:p>
    <w:p>
      <w:pPr>
        <w:pStyle w:val="TextBody"/>
        <w:bidi w:val="0"/>
        <w:spacing w:before="360" w:after="283"/>
        <w:jc w:val="both"/>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(expense), net consists primarily of interest expense related to our debt arrangements with financial institutions, interest income earned on our cash and cash equivalents, gains or losses on foreign currency transactions and miscellaneous other income. </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income tax provision consists of U.S. federal, state, and foreign income taxes. We maintain a full valuation allowance for our U.S. federal and state deferred tax assets, including net operating loss carryforwards, that are unable to be offset by our U.S. federal and state deferred tax liabilities, as we have concluded that it is not more likely than not that the U.S. deferred tax assets will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sets forth our condensed consolidated statements of operations data for the periods indicated:</w:t>
      </w:r>
    </w:p>
    <w:p>
      <w:pPr>
        <w:pStyle w:val="TextBody"/>
        <w:bidi w:val="0"/>
        <w:jc w:val="both"/>
        <w:rPr/>
      </w:pPr>
      <w:r>
        <w:rPr/>
        <w:t> </w:t>
      </w:r>
    </w:p>
    <w:tbl>
      <w:tblPr>
        <w:tblW w:w="8385" w:type="dxa"/>
        <w:jc w:val="left"/>
        <w:tblInd w:w="0" w:type="dxa"/>
        <w:tblLayout w:type="fixed"/>
        <w:tblCellMar>
          <w:top w:w="28" w:type="dxa"/>
          <w:left w:w="28" w:type="dxa"/>
          <w:bottom w:w="28" w:type="dxa"/>
          <w:right w:w="28" w:type="dxa"/>
        </w:tblCellMar>
      </w:tblPr>
      <w:tblGrid>
        <w:gridCol w:w="2451"/>
        <w:gridCol w:w="346"/>
        <w:gridCol w:w="210"/>
        <w:gridCol w:w="740"/>
        <w:gridCol w:w="177"/>
        <w:gridCol w:w="156"/>
        <w:gridCol w:w="210"/>
        <w:gridCol w:w="740"/>
        <w:gridCol w:w="366"/>
        <w:gridCol w:w="346"/>
        <w:gridCol w:w="196"/>
        <w:gridCol w:w="691"/>
        <w:gridCol w:w="166"/>
        <w:gridCol w:w="146"/>
        <w:gridCol w:w="196"/>
        <w:gridCol w:w="691"/>
        <w:gridCol w:w="166"/>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23,166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83,687</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70,774</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138,070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209,069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171,349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73,065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236,621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206,121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(31,861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Comparison of the Three Months Ended July 31, 2026 and 2025</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Revenue</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451"/>
        <w:gridCol w:w="146"/>
        <w:gridCol w:w="212"/>
        <w:gridCol w:w="747"/>
        <w:gridCol w:w="158"/>
        <w:gridCol w:w="158"/>
        <w:gridCol w:w="212"/>
        <w:gridCol w:w="747"/>
        <w:gridCol w:w="146"/>
        <w:gridCol w:w="146"/>
        <w:gridCol w:w="196"/>
        <w:gridCol w:w="601"/>
        <w:gridCol w:w="166"/>
        <w:gridCol w:w="146"/>
        <w:gridCol w:w="196"/>
        <w:gridCol w:w="465"/>
        <w:gridCol w:w="486"/>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8,260</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revenue increased by $51.8 million, or 22%, for the three months ended July 31, 2026, compared to the three months ended July 31, 2025. This increase was primarily driven by subscription revenue, which increased by $37.6 million, or 22%, for the three months ended July 31, 2026, compared to the three months ended July 31, 2025. In addition, revenue from our usage-based products increased by $14.2 million, or 24%, for the three months ended July 31, 2026, compared to the three months ended July 31, 2025. This increase was primarily driven by increases in gross transaction volume and higher earn rate generated on that volume.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revenue decreased by $1.1 million, or 12%, for the three months ended July 31, 2026, compared to the three months ended July 31, 2025. This decrease was primarily driven by a lower volume of billable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Cost of Revenue</w:t>
      </w:r>
    </w:p>
    <w:p>
      <w:pPr>
        <w:pStyle w:val="TextBody"/>
        <w:bidi w:val="0"/>
        <w:jc w:val="left"/>
        <w:rPr/>
      </w:pPr>
      <w:r>
        <w:rPr/>
        <w:t> </w:t>
      </w:r>
    </w:p>
    <w:tbl>
      <w:tblPr>
        <w:tblW w:w="7918" w:type="dxa"/>
        <w:jc w:val="left"/>
        <w:tblInd w:w="0" w:type="dxa"/>
        <w:tblLayout w:type="fixed"/>
        <w:tblCellMar>
          <w:top w:w="28" w:type="dxa"/>
          <w:left w:w="28" w:type="dxa"/>
          <w:bottom w:w="28" w:type="dxa"/>
          <w:right w:w="28" w:type="dxa"/>
        </w:tblCellMar>
      </w:tblPr>
      <w:tblGrid>
        <w:gridCol w:w="2856"/>
        <w:gridCol w:w="146"/>
        <w:gridCol w:w="197"/>
        <w:gridCol w:w="695"/>
        <w:gridCol w:w="303"/>
        <w:gridCol w:w="146"/>
        <w:gridCol w:w="197"/>
        <w:gridCol w:w="695"/>
        <w:gridCol w:w="301"/>
        <w:gridCol w:w="146"/>
        <w:gridCol w:w="196"/>
        <w:gridCol w:w="601"/>
        <w:gridCol w:w="146"/>
        <w:gridCol w:w="146"/>
        <w:gridCol w:w="223"/>
        <w:gridCol w:w="438"/>
        <w:gridCol w:w="48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60,521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23,166</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83,687</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70,774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209,069</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171,349</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 gross</w:t>
              <w:br/>
              <w: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cost of revenue increased by $8.5 million, or 16%, for the three months ended July 31, 2026, compared to the three months ended July 31, 2025. This increase was primarily due to a $6.3 million increase in the costs related to the provisioning of our platform services products and an increase of $1.2 million in personnel-related costs, driven by an increase in headcount. Platform gross margin increased to 78.7% for the three months ended July 31, 2026, compared to 77.7% for the three months ended July 31, 2025, primarily due to improved efficiencies in delivering our platform at scale.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cost of revenue increased by $4.4 million, or 23%, for the three months ended July 31, 2026, compared to the three months ended July 31, 2025. This increase was primarily due to an increase of $4.0 million in personnel-related costs, which was driven by headcount growth and annual salary increases, and a $1.1 million increase in stock-based compensation expense.</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Operating Expenses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Sales and Marketing Expense</w:t>
      </w:r>
    </w:p>
    <w:p>
      <w:pPr>
        <w:pStyle w:val="TextBody"/>
        <w:bidi w:val="0"/>
        <w:jc w:val="left"/>
        <w:rPr/>
      </w:pPr>
      <w:r>
        <w:rPr/>
        <w:t> </w:t>
      </w:r>
    </w:p>
    <w:tbl>
      <w:tblPr>
        <w:tblW w:w="7529" w:type="dxa"/>
        <w:jc w:val="left"/>
        <w:tblInd w:w="0" w:type="dxa"/>
        <w:tblLayout w:type="fixed"/>
        <w:tblCellMar>
          <w:top w:w="28" w:type="dxa"/>
          <w:left w:w="28" w:type="dxa"/>
          <w:bottom w:w="28" w:type="dxa"/>
          <w:right w:w="28" w:type="dxa"/>
        </w:tblCellMar>
      </w:tblPr>
      <w:tblGrid>
        <w:gridCol w:w="2616"/>
        <w:gridCol w:w="146"/>
        <w:gridCol w:w="221"/>
        <w:gridCol w:w="678"/>
        <w:gridCol w:w="272"/>
        <w:gridCol w:w="164"/>
        <w:gridCol w:w="221"/>
        <w:gridCol w:w="678"/>
        <w:gridCol w:w="241"/>
        <w:gridCol w:w="146"/>
        <w:gridCol w:w="196"/>
        <w:gridCol w:w="511"/>
        <w:gridCol w:w="146"/>
        <w:gridCol w:w="146"/>
        <w:gridCol w:w="223"/>
        <w:gridCol w:w="438"/>
        <w:gridCol w:w="486"/>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231F20"/>
          <w:sz w:val="20"/>
        </w:rPr>
      </w:pPr>
      <w:r>
        <w:rPr>
          <w:rFonts w:ascii="Times New Roman" w:hAnsi="Times New Roman"/>
          <w:color w:val="231F20"/>
          <w:sz w:val="20"/>
        </w:rPr>
        <w:t>Sales and marketing expense increased by $7.4 million, or 11%, for the three months ended July 31, 2026, compared to the three months ended July 31, 2025. The increase in sales and marketing expense was primarily driven by an increase of $5.8 million in personnel-related costs, which included an increase of $3.1 million driven by headcount growth, $1.8 million in sales commissions, and $1.0 million in stock-based compensation expense. There was an additional increase of $1.0 million in marketing and advertising costs.</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Research and Development Expense</w:t>
      </w:r>
    </w:p>
    <w:p>
      <w:pPr>
        <w:pStyle w:val="TextBody"/>
        <w:bidi w:val="0"/>
        <w:jc w:val="both"/>
        <w:rPr/>
      </w:pPr>
      <w:r>
        <w:rPr/>
        <w:t> </w:t>
      </w:r>
    </w:p>
    <w:tbl>
      <w:tblPr>
        <w:tblW w:w="8083" w:type="dxa"/>
        <w:jc w:val="left"/>
        <w:tblInd w:w="0" w:type="dxa"/>
        <w:tblLayout w:type="fixed"/>
        <w:tblCellMar>
          <w:top w:w="28" w:type="dxa"/>
          <w:left w:w="28" w:type="dxa"/>
          <w:bottom w:w="28" w:type="dxa"/>
          <w:right w:w="28" w:type="dxa"/>
        </w:tblCellMar>
      </w:tblPr>
      <w:tblGrid>
        <w:gridCol w:w="3081"/>
        <w:gridCol w:w="146"/>
        <w:gridCol w:w="211"/>
        <w:gridCol w:w="746"/>
        <w:gridCol w:w="260"/>
        <w:gridCol w:w="157"/>
        <w:gridCol w:w="211"/>
        <w:gridCol w:w="648"/>
        <w:gridCol w:w="241"/>
        <w:gridCol w:w="146"/>
        <w:gridCol w:w="196"/>
        <w:gridCol w:w="601"/>
        <w:gridCol w:w="146"/>
        <w:gridCol w:w="146"/>
        <w:gridCol w:w="223"/>
        <w:gridCol w:w="438"/>
        <w:gridCol w:w="48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231F20"/>
          <w:sz w:val="20"/>
        </w:rPr>
      </w:pPr>
      <w:r>
        <w:rPr>
          <w:rFonts w:ascii="Times New Roman" w:hAnsi="Times New Roman"/>
          <w:color w:val="231F20"/>
          <w:sz w:val="20"/>
        </w:rPr>
        <w:t>Research and development expense increased by $27.6 million, or 38%, for the three months ended July 31, 2026, compared to the three months ended July 31, 2025. The increase in research and development expense was primarily driven by an increase of $21.2 million in personnel-related costs, including increases of $12.1 million in stock-based compensation expense and $6.7 million in employee salaries. These increases are associated with annual salary increases and headcount growth, including the hiring of senior-level personnel to lead and support the engineering function as we continue to scale our team. There was an additional increase of $3.7 million in technology spend as a result of our continued investment in and leverage of AI.</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General and Administrative Expense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34" w:type="dxa"/>
        <w:jc w:val="left"/>
        <w:tblInd w:w="0" w:type="dxa"/>
        <w:tblLayout w:type="fixed"/>
        <w:tblCellMar>
          <w:top w:w="28" w:type="dxa"/>
          <w:left w:w="28" w:type="dxa"/>
          <w:bottom w:w="28" w:type="dxa"/>
          <w:right w:w="28" w:type="dxa"/>
        </w:tblCellMar>
      </w:tblPr>
      <w:tblGrid>
        <w:gridCol w:w="3081"/>
        <w:gridCol w:w="146"/>
        <w:gridCol w:w="221"/>
        <w:gridCol w:w="678"/>
        <w:gridCol w:w="272"/>
        <w:gridCol w:w="164"/>
        <w:gridCol w:w="221"/>
        <w:gridCol w:w="678"/>
        <w:gridCol w:w="241"/>
        <w:gridCol w:w="146"/>
        <w:gridCol w:w="196"/>
        <w:gridCol w:w="571"/>
        <w:gridCol w:w="166"/>
        <w:gridCol w:w="146"/>
        <w:gridCol w:w="240"/>
        <w:gridCol w:w="421"/>
        <w:gridCol w:w="54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59,018</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231F20"/>
          <w:sz w:val="20"/>
        </w:rPr>
        <w:t>General and administrative expense decreased by $4.5 million, or 7%, for the three months ended July 31, 2026, compared to the three months ended July 31, 2025. The decrease in general and administrative expense was primarily driven by a decrease of $4.0 million in personnel-related costs, resulting from lower stock-based compensation expense associated with award forfeitures from employee terminations</w:t>
      </w:r>
      <w:r>
        <w:rPr>
          <w:rFonts w:ascii="Times New Roman" w:hAnsi="Times New Roman"/>
          <w:color w:val="000000"/>
          <w:sz w:val="20"/>
        </w:rPr>
        <w: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Other Income, Net</w:t>
      </w:r>
    </w:p>
    <w:p>
      <w:pPr>
        <w:pStyle w:val="TextBody"/>
        <w:bidi w:val="0"/>
        <w:jc w:val="both"/>
        <w:rPr/>
      </w:pPr>
      <w:r>
        <w:rPr/>
        <w:t> </w:t>
      </w:r>
    </w:p>
    <w:tbl>
      <w:tblPr>
        <w:tblW w:w="5982" w:type="dxa"/>
        <w:jc w:val="left"/>
        <w:tblInd w:w="0" w:type="dxa"/>
        <w:tblLayout w:type="fixed"/>
        <w:tblCellMar>
          <w:top w:w="28" w:type="dxa"/>
          <w:left w:w="28" w:type="dxa"/>
          <w:bottom w:w="28" w:type="dxa"/>
          <w:right w:w="28" w:type="dxa"/>
        </w:tblCellMar>
      </w:tblPr>
      <w:tblGrid>
        <w:gridCol w:w="1366"/>
        <w:gridCol w:w="146"/>
        <w:gridCol w:w="256"/>
        <w:gridCol w:w="669"/>
        <w:gridCol w:w="191"/>
        <w:gridCol w:w="191"/>
        <w:gridCol w:w="256"/>
        <w:gridCol w:w="669"/>
        <w:gridCol w:w="146"/>
        <w:gridCol w:w="146"/>
        <w:gridCol w:w="196"/>
        <w:gridCol w:w="511"/>
        <w:gridCol w:w="146"/>
        <w:gridCol w:w="146"/>
        <w:gridCol w:w="223"/>
        <w:gridCol w:w="438"/>
        <w:gridCol w:w="28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231F20"/>
          <w:sz w:val="20"/>
        </w:rPr>
        <w:t>Other income, net, was $4.0 million for the three months ended July 31, 2026, compared to other income, net, of $2.9 million for the three months ended July 31, 2025. The increase was primarily due to a $1.9 million decline in interest expense resulting from the</w:t>
      </w:r>
      <w:r>
        <w:rPr>
          <w:rFonts w:ascii="Times New Roman" w:hAnsi="Times New Roman"/>
          <w:color w:val="000000"/>
          <w:sz w:val="20"/>
        </w:rPr>
        <w:t xml:space="preserve"> repayment, in full, of our term loan in fiscal 2026, partially offset by a $0.9 million decrease in interest income.</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Provision for Income Taxes</w:t>
      </w:r>
    </w:p>
    <w:p>
      <w:pPr>
        <w:pStyle w:val="TextBody"/>
        <w:bidi w:val="0"/>
        <w:jc w:val="both"/>
        <w:rPr/>
      </w:pPr>
      <w:r>
        <w:rPr/>
        <w:t> </w:t>
      </w:r>
    </w:p>
    <w:tbl>
      <w:tblPr>
        <w:tblW w:w="6597" w:type="dxa"/>
        <w:jc w:val="left"/>
        <w:tblInd w:w="0" w:type="dxa"/>
        <w:tblLayout w:type="fixed"/>
        <w:tblCellMar>
          <w:top w:w="28" w:type="dxa"/>
          <w:left w:w="28" w:type="dxa"/>
          <w:bottom w:w="28" w:type="dxa"/>
          <w:right w:w="28" w:type="dxa"/>
        </w:tblCellMar>
      </w:tblPr>
      <w:tblGrid>
        <w:gridCol w:w="1981"/>
        <w:gridCol w:w="146"/>
        <w:gridCol w:w="278"/>
        <w:gridCol w:w="727"/>
        <w:gridCol w:w="207"/>
        <w:gridCol w:w="207"/>
        <w:gridCol w:w="278"/>
        <w:gridCol w:w="535"/>
        <w:gridCol w:w="146"/>
        <w:gridCol w:w="146"/>
        <w:gridCol w:w="196"/>
        <w:gridCol w:w="511"/>
        <w:gridCol w:w="146"/>
        <w:gridCol w:w="146"/>
        <w:gridCol w:w="184"/>
        <w:gridCol w:w="477"/>
        <w:gridCol w:w="28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40" w:after="283"/>
        <w:jc w:val="both"/>
        <w:rPr>
          <w:rFonts w:ascii="Times New Roman" w:hAnsi="Times New Roman"/>
          <w:color w:val="231F20"/>
          <w:sz w:val="20"/>
        </w:rPr>
      </w:pPr>
      <w:r>
        <w:rPr>
          <w:rFonts w:ascii="Times New Roman" w:hAnsi="Times New Roman"/>
          <w:color w:val="231F20"/>
          <w:sz w:val="20"/>
        </w:rPr>
        <w:t>Our provision for income taxes increased by $1.0 million for the three months ended July 31, 2026, compared to the three months ended July 31, 2025. The change is primarily driven by the variability in the jurisdictional mix of our income (loss) before income taxes, as well as the impacts of our U.S. valuation allowance for the three months ended July 31, 2026.</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Comparison of the Six Months Ended July 31, 2026 and 2025</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Revenue</w:t>
      </w:r>
    </w:p>
    <w:p>
      <w:pPr>
        <w:pStyle w:val="TextBody"/>
        <w:bidi w:val="0"/>
        <w:jc w:val="left"/>
        <w:rPr/>
      </w:pPr>
      <w:r>
        <w:rPr/>
        <w:t> </w:t>
      </w:r>
    </w:p>
    <w:tbl>
      <w:tblPr>
        <w:tblW w:w="7301" w:type="dxa"/>
        <w:jc w:val="left"/>
        <w:tblInd w:w="0" w:type="dxa"/>
        <w:tblLayout w:type="fixed"/>
        <w:tblCellMar>
          <w:top w:w="28" w:type="dxa"/>
          <w:left w:w="28" w:type="dxa"/>
          <w:bottom w:w="28" w:type="dxa"/>
          <w:right w:w="28" w:type="dxa"/>
        </w:tblCellMar>
      </w:tblPr>
      <w:tblGrid>
        <w:gridCol w:w="2451"/>
        <w:gridCol w:w="146"/>
        <w:gridCol w:w="196"/>
        <w:gridCol w:w="691"/>
        <w:gridCol w:w="146"/>
        <w:gridCol w:w="146"/>
        <w:gridCol w:w="196"/>
        <w:gridCol w:w="691"/>
        <w:gridCol w:w="146"/>
        <w:gridCol w:w="146"/>
        <w:gridCol w:w="196"/>
        <w:gridCol w:w="691"/>
        <w:gridCol w:w="166"/>
        <w:gridCol w:w="146"/>
        <w:gridCol w:w="223"/>
        <w:gridCol w:w="438"/>
        <w:gridCol w:w="486"/>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revenue increased by $104.4 million, or 24%, for the six months ended July 31, 2026, compared to the six months ended July 31, 2025. This increase was primarily driven by subscription revenue, which increased by $76.9 million, or 23%, for the six months ended July 31, 2026, compared to the six months ended July 31, 2025. In addition, revenue from our usage-based products increased by $27.4 million, or 27%, for the six months ended July 31, 2026, compared to the six months ended July 31, 2025. This increase was primarily driven by increases in gross transaction volume and higher earn rate generated on that volume.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revenue decreased by $0.6 million, or 3%, for the six months ended July 31, 2026, compared to the six months ended July 31, 2025. This decrease was primarily driven by a lower volume of billable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Cost of Revenue</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3396"/>
        <w:gridCol w:w="146"/>
        <w:gridCol w:w="196"/>
        <w:gridCol w:w="691"/>
        <w:gridCol w:w="301"/>
        <w:gridCol w:w="146"/>
        <w:gridCol w:w="196"/>
        <w:gridCol w:w="691"/>
        <w:gridCol w:w="301"/>
        <w:gridCol w:w="146"/>
        <w:gridCol w:w="196"/>
        <w:gridCol w:w="601"/>
        <w:gridCol w:w="146"/>
        <w:gridCol w:w="146"/>
        <w:gridCol w:w="223"/>
        <w:gridCol w:w="438"/>
        <w:gridCol w:w="486"/>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158,720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138,070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402,860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319,745</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cost of revenue increased by $14.0 million, or 14%, for the six months ended July 31, 2026, compared to the six months ended July 31, 2025. This increase was primarily due to a $9.2 million increase in the costs related to the provisioning of our platform services products and an increase of $3.5 million in personnel-related costs, driven by headcount growth and salary increases. Platform gross margin increased to 78.7% for the six months ended July 31, 2026, compared to 76.8% for the six months ended July 31, 2025 primarily due to improved efficiencies in delivering our platform at scale.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cost of revenue increased by $6.6 million, or 18%, for the six months ended July 31, 2026, compared to the six months ended July 31, 2025. The increase was primarily due to an increase of $6.4 million in personnel-related costs driven by headcount growth and annual salary increases, and $1.4 million in stock-based compensation expense.</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Operating Expenses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Sales and Marketing Expense</w:t>
      </w:r>
    </w:p>
    <w:p>
      <w:pPr>
        <w:pStyle w:val="TextBody"/>
        <w:bidi w:val="0"/>
        <w:jc w:val="left"/>
        <w:rPr/>
      </w:pPr>
      <w:r>
        <w:rPr/>
        <w:t> </w:t>
      </w:r>
    </w:p>
    <w:tbl>
      <w:tblPr>
        <w:tblW w:w="9136" w:type="dxa"/>
        <w:jc w:val="left"/>
        <w:tblInd w:w="0" w:type="dxa"/>
        <w:tblLayout w:type="fixed"/>
        <w:tblCellMar>
          <w:top w:w="28" w:type="dxa"/>
          <w:left w:w="28" w:type="dxa"/>
          <w:bottom w:w="28" w:type="dxa"/>
          <w:right w:w="28" w:type="dxa"/>
        </w:tblCellMar>
      </w:tblPr>
      <w:tblGrid>
        <w:gridCol w:w="4206"/>
        <w:gridCol w:w="146"/>
        <w:gridCol w:w="196"/>
        <w:gridCol w:w="691"/>
        <w:gridCol w:w="241"/>
        <w:gridCol w:w="146"/>
        <w:gridCol w:w="196"/>
        <w:gridCol w:w="691"/>
        <w:gridCol w:w="241"/>
        <w:gridCol w:w="146"/>
        <w:gridCol w:w="196"/>
        <w:gridCol w:w="601"/>
        <w:gridCol w:w="146"/>
        <w:gridCol w:w="146"/>
        <w:gridCol w:w="282"/>
        <w:gridCol w:w="379"/>
        <w:gridCol w:w="486"/>
      </w:tblGrid>
      <w:tr>
        <w:trPr/>
        <w:tc>
          <w:tcPr>
            <w:tcW w:w="4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 expense as a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231F20"/>
          <w:sz w:val="20"/>
        </w:rPr>
      </w:pPr>
      <w:r>
        <w:rPr>
          <w:rFonts w:ascii="Times New Roman" w:hAnsi="Times New Roman"/>
          <w:color w:val="231F20"/>
          <w:sz w:val="20"/>
        </w:rPr>
        <w:t>Sales and marketing expense increased by $11.3 million, or 8%, for the six months ended July 31, 2026, compared to the six months ended July 31, 2025. The increase in sales and marketing expense was primarily driven by an increase of $11.0 million in personnel-related costs, which included an increase of $6.4 million driven by headcount growth and annual salary increases, $2.4 million in sales commissions, and $2.2 million in stock-based compensation expense.</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Research and Development Expense</w:t>
      </w:r>
    </w:p>
    <w:p>
      <w:pPr>
        <w:pStyle w:val="TextBody"/>
        <w:bidi w:val="0"/>
        <w:jc w:val="both"/>
        <w:rPr/>
      </w:pPr>
      <w:r>
        <w:rPr/>
        <w:t> </w:t>
      </w:r>
    </w:p>
    <w:tbl>
      <w:tblPr>
        <w:tblW w:w="9001" w:type="dxa"/>
        <w:jc w:val="left"/>
        <w:tblInd w:w="0" w:type="dxa"/>
        <w:tblLayout w:type="fixed"/>
        <w:tblCellMar>
          <w:top w:w="28" w:type="dxa"/>
          <w:left w:w="28" w:type="dxa"/>
          <w:bottom w:w="28" w:type="dxa"/>
          <w:right w:w="28" w:type="dxa"/>
        </w:tblCellMar>
      </w:tblPr>
      <w:tblGrid>
        <w:gridCol w:w="4071"/>
        <w:gridCol w:w="146"/>
        <w:gridCol w:w="196"/>
        <w:gridCol w:w="691"/>
        <w:gridCol w:w="241"/>
        <w:gridCol w:w="146"/>
        <w:gridCol w:w="196"/>
        <w:gridCol w:w="691"/>
        <w:gridCol w:w="241"/>
        <w:gridCol w:w="146"/>
        <w:gridCol w:w="196"/>
        <w:gridCol w:w="601"/>
        <w:gridCol w:w="146"/>
        <w:gridCol w:w="146"/>
        <w:gridCol w:w="223"/>
        <w:gridCol w:w="438"/>
        <w:gridCol w:w="486"/>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 expense as a percentage of</w:t>
              <w:br/>
              <w: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231F20"/>
          <w:sz w:val="20"/>
        </w:rPr>
      </w:pPr>
      <w:r>
        <w:rPr>
          <w:rFonts w:ascii="Times New Roman" w:hAnsi="Times New Roman"/>
          <w:color w:val="231F20"/>
          <w:sz w:val="20"/>
        </w:rPr>
        <w:t>Research and development expense increased by $46.5 million, or 33%, for the six months ended July 31, 2026, compared to the six months ended July 31, 2025. The increase in research and development expense was primarily driven by an increase of $37.9 million in personnel-related costs due to annual salary increases and headcount growth, including hiring of senior level personnel to support the engineering function as we continue to scale our team. The increase in personnel-related costs also includes a $20.4 million increase in stock-based compensation expense associated with the increased headcount. There was an additional increase of $6.2 million in technology spend as a result of our continued investment in and leverage of AI.</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General and Administrative Expense</w:t>
      </w:r>
    </w:p>
    <w:p>
      <w:pPr>
        <w:pStyle w:val="TextBody"/>
        <w:bidi w:val="0"/>
        <w:jc w:val="both"/>
        <w:rPr/>
      </w:pPr>
      <w:r>
        <w:rPr/>
        <w:t> </w:t>
      </w:r>
    </w:p>
    <w:tbl>
      <w:tblPr>
        <w:tblW w:w="9051" w:type="dxa"/>
        <w:jc w:val="left"/>
        <w:tblInd w:w="0" w:type="dxa"/>
        <w:tblLayout w:type="fixed"/>
        <w:tblCellMar>
          <w:top w:w="28" w:type="dxa"/>
          <w:left w:w="28" w:type="dxa"/>
          <w:bottom w:w="28" w:type="dxa"/>
          <w:right w:w="28" w:type="dxa"/>
        </w:tblCellMar>
      </w:tblPr>
      <w:tblGrid>
        <w:gridCol w:w="4071"/>
        <w:gridCol w:w="146"/>
        <w:gridCol w:w="196"/>
        <w:gridCol w:w="691"/>
        <w:gridCol w:w="241"/>
        <w:gridCol w:w="146"/>
        <w:gridCol w:w="196"/>
        <w:gridCol w:w="691"/>
        <w:gridCol w:w="241"/>
        <w:gridCol w:w="146"/>
        <w:gridCol w:w="196"/>
        <w:gridCol w:w="571"/>
        <w:gridCol w:w="166"/>
        <w:gridCol w:w="146"/>
        <w:gridCol w:w="240"/>
        <w:gridCol w:w="421"/>
        <w:gridCol w:w="546"/>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117,475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 expense as a percentage of</w:t>
              <w:br/>
              <w: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General and administrative expense decreased by $5.6 million, or 5%, for the six months ended July 31, 2026, compared to the six months ended July 31, 2025. The decrease in general and administrative expense was primarily driven by a decrease of $3.0 million in personnel-related costs resulting from lower stock-based compensation expense associated with award forfeitures resulting from employee terminations. There was also a decrease of $2.9 million in impairment losses on operating lease assets and related property and equipment for office spaces that we ceased to use in fiscal 2025.</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Other Income, Net</w:t>
      </w:r>
    </w:p>
    <w:p>
      <w:pPr>
        <w:pStyle w:val="TextBody"/>
        <w:bidi w:val="0"/>
        <w:jc w:val="both"/>
        <w:rPr/>
      </w:pPr>
      <w:r>
        <w:rPr/>
        <w:t> </w:t>
      </w:r>
    </w:p>
    <w:tbl>
      <w:tblPr>
        <w:tblW w:w="5788" w:type="dxa"/>
        <w:jc w:val="left"/>
        <w:tblInd w:w="0" w:type="dxa"/>
        <w:tblLayout w:type="fixed"/>
        <w:tblCellMar>
          <w:top w:w="28" w:type="dxa"/>
          <w:left w:w="28" w:type="dxa"/>
          <w:bottom w:w="28" w:type="dxa"/>
          <w:right w:w="28" w:type="dxa"/>
        </w:tblCellMar>
      </w:tblPr>
      <w:tblGrid>
        <w:gridCol w:w="1366"/>
        <w:gridCol w:w="146"/>
        <w:gridCol w:w="234"/>
        <w:gridCol w:w="611"/>
        <w:gridCol w:w="174"/>
        <w:gridCol w:w="174"/>
        <w:gridCol w:w="234"/>
        <w:gridCol w:w="611"/>
        <w:gridCol w:w="146"/>
        <w:gridCol w:w="146"/>
        <w:gridCol w:w="196"/>
        <w:gridCol w:w="511"/>
        <w:gridCol w:w="146"/>
        <w:gridCol w:w="146"/>
        <w:gridCol w:w="223"/>
        <w:gridCol w:w="438"/>
        <w:gridCol w:w="28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231F20"/>
          <w:sz w:val="20"/>
        </w:rPr>
        <w:t>Other income, net, was $7.9 million for the six months ended July 31, 2026, compared to other income, net, of $6.3 million for the six months ended July 31, 2025. The increase was primarily due to a $3.7 million decline in interest expense resulting from the</w:t>
      </w:r>
      <w:r>
        <w:rPr>
          <w:rFonts w:ascii="Times New Roman" w:hAnsi="Times New Roman"/>
          <w:color w:val="000000"/>
          <w:sz w:val="20"/>
        </w:rPr>
        <w:t xml:space="preserve"> repayment, in full, of our term loan in fiscal 2026, partially offset by a $2.1 million decrease in interest income.</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Provision for Income Taxes</w:t>
      </w:r>
    </w:p>
    <w:p>
      <w:pPr>
        <w:pStyle w:val="TextBody"/>
        <w:bidi w:val="0"/>
        <w:jc w:val="both"/>
        <w:rPr/>
      </w:pPr>
      <w:r>
        <w:rPr/>
        <w:t> </w:t>
      </w:r>
    </w:p>
    <w:tbl>
      <w:tblPr>
        <w:tblW w:w="6402" w:type="dxa"/>
        <w:jc w:val="left"/>
        <w:tblInd w:w="0" w:type="dxa"/>
        <w:tblLayout w:type="fixed"/>
        <w:tblCellMar>
          <w:top w:w="28" w:type="dxa"/>
          <w:left w:w="28" w:type="dxa"/>
          <w:bottom w:w="28" w:type="dxa"/>
          <w:right w:w="28" w:type="dxa"/>
        </w:tblCellMar>
      </w:tblPr>
      <w:tblGrid>
        <w:gridCol w:w="1981"/>
        <w:gridCol w:w="146"/>
        <w:gridCol w:w="254"/>
        <w:gridCol w:w="663"/>
        <w:gridCol w:w="189"/>
        <w:gridCol w:w="189"/>
        <w:gridCol w:w="254"/>
        <w:gridCol w:w="488"/>
        <w:gridCol w:w="146"/>
        <w:gridCol w:w="146"/>
        <w:gridCol w:w="196"/>
        <w:gridCol w:w="511"/>
        <w:gridCol w:w="146"/>
        <w:gridCol w:w="146"/>
        <w:gridCol w:w="184"/>
        <w:gridCol w:w="477"/>
        <w:gridCol w:w="28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provision for income taxes increased by $1.7 million for the six months ended July 31, 2026, compared to the six months ended July 31, 2025. The change is primarily driven by the variability in the jurisdictional mix of our income (loss) before income taxes, as well as the impacts of our U.S. valuation allowance for the six months ended July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addition to our results prepared in accordance with GAAP, we believe non-GAAP gross profit and non-GAAP gross margin, in total and for platform, and professional services and other, non-GAAP sales and marketing expense, non-GAAP research and development expense, non-GAAP general and administrative expense, non-GAAP income from operations, non-GAAP operating margin, and non-GAAP net income are useful in evaluating our operating performance.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For the reasons set forth below, we believe that excluding the following items provides information that is helpful in understanding our results of operations, evaluating our future prospects, comparing our financial results across accounting periods, and comparing our financial results to our peers, many of which provide similar non-GAAP financial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Stock-based compensation expense and related employer payroll taxes</w:t>
      </w:r>
      <w:r>
        <w:rPr>
          <w:rFonts w:ascii="Times New Roman" w:hAnsi="Times New Roman"/>
          <w:color w:val="000000"/>
          <w:sz w:val="20"/>
        </w:rPr>
        <w:t xml:space="preserve">. </w:t>
      </w:r>
      <w:r>
        <w:rPr>
          <w:rFonts w:ascii="Times New Roman" w:hAnsi="Times New Roman"/>
          <w:color w:val="231F20"/>
          <w:sz w:val="20"/>
        </w:rPr>
        <w:t>We exclude stock-based compensation expense, including the performance-based RSU’s granted to our Co-Founders, and related employer payroll taxes, to allow investors to make more meaningful comparisons of our performance between periods and to facilitate a comparison of our performance to those of other peer companies. Stock-based compensation expense may vary between periods due to various factors unrelated to our core performance, including as a result of the assumptions used in the valuation methodologies, timing and amount of grants and other factors. We exclude employer payroll taxes because the amounts vary based on timing and settlement or vesting of awards unrelated to our core operating performance. Moreover, stock-based compensation expense is a non-cash expense that we exclude from our internal management reporting processes and when assessing our actual performance, budgeting, planning, and forecasting future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Amortization of acquired intangible assets</w:t>
      </w:r>
      <w:r>
        <w:rPr>
          <w:rFonts w:ascii="Times New Roman" w:hAnsi="Times New Roman"/>
          <w:color w:val="000000"/>
          <w:sz w:val="20"/>
        </w:rPr>
        <w:t xml:space="preserve">. </w:t>
      </w:r>
      <w:r>
        <w:rPr>
          <w:rFonts w:ascii="Times New Roman" w:hAnsi="Times New Roman"/>
          <w:color w:val="231F20"/>
          <w:sz w:val="20"/>
        </w:rPr>
        <w:t xml:space="preserve">We incur amortization expense for acquired intangible assets in connection with acquisitions of certain businesses and technologies. Amortization of acquired intangible assets is a non-cash expense that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significantly affected by the timing and size of acquisitions, and the inherent subjective nature of purchase price allocations. Because these costs have already been incurred, we exclude the amortization expense from our internal management reporting processes. We exclude these charges when assessing our actual performance and when budgeting, planning, and forecasting future periods. Investors should note that the use of intangible assets contributed to our revenues earned during the periods presented and will contribute to our future period revenues as well.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Loss on operating lease assets</w:t>
      </w:r>
      <w:r>
        <w:rPr>
          <w:rFonts w:ascii="Times New Roman" w:hAnsi="Times New Roman"/>
          <w:color w:val="000000"/>
          <w:sz w:val="20"/>
        </w:rPr>
        <w:t>.</w:t>
      </w:r>
      <w:r>
        <w:rPr>
          <w:rFonts w:ascii="Times New Roman" w:hAnsi="Times New Roman"/>
          <w:color w:val="231F20"/>
          <w:sz w:val="20"/>
        </w:rPr>
        <w:t xml:space="preserve"> We have incurred impairments on certain right-of-use assets and other long-lived assets. See Note 5 of our unaudited interim condensed consolidated financial statements included elsewhere in this Quarterly Report. We believe that it is useful to exclude these charges when assessing the level of various operating expenses and resource allocations when budgeting, planning and forecasting future periods. In addition, we believe excluding such costs enhances the comparability between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Acquisition-related items</w:t>
      </w:r>
      <w:r>
        <w:rPr>
          <w:rFonts w:ascii="Times New Roman" w:hAnsi="Times New Roman"/>
          <w:color w:val="000000"/>
          <w:sz w:val="20"/>
        </w:rPr>
        <w:t>. From time to time, we have and may continue to incur</w:t>
      </w:r>
      <w:r>
        <w:rPr>
          <w:rFonts w:ascii="Times New Roman" w:hAnsi="Times New Roman"/>
          <w:color w:val="231F20"/>
          <w:sz w:val="20"/>
        </w:rPr>
        <w:t xml:space="preserve"> costs related to acquisitions, including legal, third-party valuation and due diligence, insurance costs, and one-time retention bonuses for employees of acquired companies. In addition, we periodically record the change to the fair value of contingent consideration related to past acquisitions. When applicable, we exclude these items when assessing our actual performance and when budgeting, planning and forecasting future periods. We believe excluding these items allows investors to make meaningful comparisons between our core results of operations and those of other peer companies.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These measures, however, have certain limitations in that they reflect the exercise of judgment by our management about which expenses are excluded or included and do not include the impact of certain expenses that are reflected in our consolidated statement of operations that are necessary to run our business. These non-GAAP financial measures should be considered in addition to, not as a substitute for or in isolation from, our financial results determined in accordance with GAAP. We caution investors that amounts presented in accordance with our definition of non-GAAP gross profit, non-GAAP gross margin, non-GAAP sales and marketing expense, non-GAAP research and development expense, non-GAAP general and administrative expense, non-GAAP income from operations, non-GAAP operating margin, and non-GAAP net income may not be comparable to similar measures disclosed by other companies because not all companies and analysts calculate these non-GAAP financial measures in the same manner. </w:t>
      </w:r>
    </w:p>
    <w:p>
      <w:pPr>
        <w:pStyle w:val="TextBody"/>
        <w:bidi w:val="0"/>
        <w:spacing w:before="360" w:after="283"/>
        <w:jc w:val="both"/>
        <w:rPr>
          <w:rFonts w:ascii="Times New Roman" w:hAnsi="Times New Roman"/>
          <w:sz w:val="20"/>
        </w:rPr>
      </w:pPr>
      <w:r>
        <w:rPr>
          <w:rFonts w:ascii="Times New Roman" w:hAnsi="Times New Roman"/>
          <w:b/>
          <w:i/>
          <w:color w:val="000000"/>
          <w:sz w:val="20"/>
        </w:rPr>
        <w:t>Non-GAAP Gross Profit and Non-GAAP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define non-GAAP gross profit and non-GAAP gross margin as GAAP gross profit and GAAP gross margin, respectively, excluding stock-based compensation expense and related employer payroll taxes, amortization of acquired intangible assets, and loss on operating lease assets. Total non-GAAP gross margin represents total non-GAAP gross profit as a percentage of total revenue. Non-GAAP platform gross margin represents non-GAAP platform gross profit as a percentage of platform revenue and non-GAAP professional services and other gross margin represents non-GAAP professional services and other gross profit as a percentage of professional services and other revenue.</w:t>
      </w:r>
    </w:p>
    <w:p>
      <w:pPr>
        <w:pStyle w:val="TextBody"/>
        <w:bidi w:val="0"/>
        <w:spacing w:before="240" w:after="283"/>
        <w:jc w:val="both"/>
        <w:rPr>
          <w:rFonts w:ascii="Times New Roman" w:hAnsi="Times New Roman"/>
          <w:sz w:val="20"/>
        </w:rPr>
      </w:pPr>
      <w:r>
        <w:rPr>
          <w:rFonts w:ascii="Times New Roman" w:hAnsi="Times New Roman"/>
          <w:color w:val="000000"/>
          <w:sz w:val="20"/>
        </w:rPr>
        <w:t>The following table reflects the reconciliation o</w:t>
      </w:r>
      <w:r>
        <w:rPr>
          <w:rFonts w:ascii="Times New Roman" w:hAnsi="Times New Roman"/>
          <w:color w:val="231F20"/>
          <w:sz w:val="20"/>
        </w:rPr>
        <w:t>f GAAP gross profit to non-GAAP gross profit and GAAP gross margin to non-GAAP gross margin for the periods presen</w:t>
      </w:r>
      <w:r>
        <w:rPr>
          <w:rFonts w:ascii="Times New Roman" w:hAnsi="Times New Roman"/>
          <w:color w:val="000000"/>
          <w:sz w:val="20"/>
        </w:rPr>
        <w:t>ted:</w:t>
      </w:r>
    </w:p>
    <w:p>
      <w:pPr>
        <w:pStyle w:val="TextBody"/>
        <w:bidi w:val="0"/>
        <w:jc w:val="both"/>
        <w:rPr/>
      </w:pPr>
      <w:r>
        <w:rPr/>
        <w:t> </w:t>
      </w:r>
    </w:p>
    <w:tbl>
      <w:tblPr>
        <w:tblW w:w="10065" w:type="dxa"/>
        <w:jc w:val="left"/>
        <w:tblInd w:w="0" w:type="dxa"/>
        <w:tblLayout w:type="fixed"/>
        <w:tblCellMar>
          <w:top w:w="28" w:type="dxa"/>
          <w:left w:w="28" w:type="dxa"/>
          <w:bottom w:w="28" w:type="dxa"/>
          <w:right w:w="28" w:type="dxa"/>
        </w:tblCellMar>
      </w:tblPr>
      <w:tblGrid>
        <w:gridCol w:w="2856"/>
        <w:gridCol w:w="146"/>
        <w:gridCol w:w="196"/>
        <w:gridCol w:w="691"/>
        <w:gridCol w:w="146"/>
        <w:gridCol w:w="146"/>
        <w:gridCol w:w="196"/>
        <w:gridCol w:w="691"/>
        <w:gridCol w:w="146"/>
        <w:gridCol w:w="146"/>
        <w:gridCol w:w="196"/>
        <w:gridCol w:w="661"/>
        <w:gridCol w:w="166"/>
        <w:gridCol w:w="146"/>
        <w:gridCol w:w="196"/>
        <w:gridCol w:w="571"/>
        <w:gridCol w:w="166"/>
        <w:gridCol w:w="146"/>
        <w:gridCol w:w="196"/>
        <w:gridCol w:w="691"/>
        <w:gridCol w:w="146"/>
        <w:gridCol w:w="146"/>
        <w:gridCol w:w="196"/>
        <w:gridCol w:w="691"/>
        <w:gridCol w:w="3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Platform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Professional </w:t>
              <w:br/>
              <w:t>Services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187,752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180,064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321" w:type="dxa"/>
        <w:jc w:val="left"/>
        <w:tblInd w:w="0" w:type="dxa"/>
        <w:tblLayout w:type="fixed"/>
        <w:tblCellMar>
          <w:top w:w="28" w:type="dxa"/>
          <w:left w:w="28" w:type="dxa"/>
          <w:bottom w:w="28" w:type="dxa"/>
          <w:right w:w="28" w:type="dxa"/>
        </w:tblCellMar>
      </w:tblPr>
      <w:tblGrid>
        <w:gridCol w:w="2856"/>
        <w:gridCol w:w="146"/>
        <w:gridCol w:w="154"/>
        <w:gridCol w:w="444"/>
        <w:gridCol w:w="254"/>
        <w:gridCol w:w="154"/>
        <w:gridCol w:w="154"/>
        <w:gridCol w:w="444"/>
        <w:gridCol w:w="241"/>
        <w:gridCol w:w="146"/>
        <w:gridCol w:w="146"/>
        <w:gridCol w:w="571"/>
        <w:gridCol w:w="301"/>
        <w:gridCol w:w="146"/>
        <w:gridCol w:w="146"/>
        <w:gridCol w:w="481"/>
        <w:gridCol w:w="301"/>
        <w:gridCol w:w="146"/>
        <w:gridCol w:w="154"/>
        <w:gridCol w:w="444"/>
        <w:gridCol w:w="254"/>
        <w:gridCol w:w="154"/>
        <w:gridCol w:w="154"/>
        <w:gridCol w:w="444"/>
        <w:gridCol w:w="48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Platform</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Professional </w:t>
              <w:br/>
              <w:t>Services and Other</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July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July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July 31,</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Non-GAAP gross margin</w:t>
            </w: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w:t>
            </w:r>
          </w:p>
        </w:tc>
        <w:tc>
          <w:tcPr>
            <w:tcW w:w="2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w:t>
            </w:r>
          </w:p>
        </w:tc>
        <w:tc>
          <w:tcPr>
            <w:tcW w:w="2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4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55" w:type="dxa"/>
        <w:jc w:val="left"/>
        <w:tblInd w:w="0" w:type="dxa"/>
        <w:tblLayout w:type="fixed"/>
        <w:tblCellMar>
          <w:top w:w="28" w:type="dxa"/>
          <w:left w:w="28" w:type="dxa"/>
          <w:bottom w:w="28" w:type="dxa"/>
          <w:right w:w="28" w:type="dxa"/>
        </w:tblCellMar>
      </w:tblPr>
      <w:tblGrid>
        <w:gridCol w:w="2856"/>
        <w:gridCol w:w="146"/>
        <w:gridCol w:w="196"/>
        <w:gridCol w:w="691"/>
        <w:gridCol w:w="146"/>
        <w:gridCol w:w="146"/>
        <w:gridCol w:w="196"/>
        <w:gridCol w:w="691"/>
        <w:gridCol w:w="146"/>
        <w:gridCol w:w="146"/>
        <w:gridCol w:w="196"/>
        <w:gridCol w:w="661"/>
        <w:gridCol w:w="166"/>
        <w:gridCol w:w="146"/>
        <w:gridCol w:w="196"/>
        <w:gridCol w:w="661"/>
        <w:gridCol w:w="166"/>
        <w:gridCol w:w="146"/>
        <w:gridCol w:w="196"/>
        <w:gridCol w:w="691"/>
        <w:gridCol w:w="146"/>
        <w:gridCol w:w="146"/>
        <w:gridCol w:w="196"/>
        <w:gridCol w:w="691"/>
        <w:gridCol w:w="3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Platform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Professional </w:t>
              <w:br/>
              <w:t>Services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442,336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338,820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9245" w:type="dxa"/>
        <w:jc w:val="left"/>
        <w:tblInd w:w="0" w:type="dxa"/>
        <w:tblLayout w:type="fixed"/>
        <w:tblCellMar>
          <w:top w:w="28" w:type="dxa"/>
          <w:left w:w="28" w:type="dxa"/>
          <w:bottom w:w="28" w:type="dxa"/>
          <w:right w:w="28" w:type="dxa"/>
        </w:tblCellMar>
      </w:tblPr>
      <w:tblGrid>
        <w:gridCol w:w="2856"/>
        <w:gridCol w:w="146"/>
        <w:gridCol w:w="146"/>
        <w:gridCol w:w="421"/>
        <w:gridCol w:w="241"/>
        <w:gridCol w:w="146"/>
        <w:gridCol w:w="146"/>
        <w:gridCol w:w="421"/>
        <w:gridCol w:w="241"/>
        <w:gridCol w:w="146"/>
        <w:gridCol w:w="146"/>
        <w:gridCol w:w="571"/>
        <w:gridCol w:w="301"/>
        <w:gridCol w:w="146"/>
        <w:gridCol w:w="146"/>
        <w:gridCol w:w="571"/>
        <w:gridCol w:w="301"/>
        <w:gridCol w:w="146"/>
        <w:gridCol w:w="146"/>
        <w:gridCol w:w="421"/>
        <w:gridCol w:w="241"/>
        <w:gridCol w:w="146"/>
        <w:gridCol w:w="146"/>
        <w:gridCol w:w="421"/>
        <w:gridCol w:w="48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Platform</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Professional </w:t>
              <w:br/>
              <w:t>Services and Other</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July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July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July 31,</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Non-GAAP Sales and Marketing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sales and marketing expense as GAAP sales and marketing expense excluding stock-based compensation expense and related employer payroll taxes, amortization of acquired intangible assets,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sales and marketing expense to non-GAAP sales and marketing expense for the periods presented:</w:t>
      </w:r>
    </w:p>
    <w:p>
      <w:pPr>
        <w:pStyle w:val="TextBody"/>
        <w:bidi w:val="0"/>
        <w:jc w:val="both"/>
        <w:rPr/>
      </w:pPr>
      <w:r>
        <w:rPr/>
        <w:t> </w:t>
      </w:r>
    </w:p>
    <w:tbl>
      <w:tblPr>
        <w:tblW w:w="8419" w:type="dxa"/>
        <w:jc w:val="left"/>
        <w:tblInd w:w="0" w:type="dxa"/>
        <w:tblLayout w:type="fixed"/>
        <w:tblCellMar>
          <w:top w:w="28" w:type="dxa"/>
          <w:left w:w="28" w:type="dxa"/>
          <w:bottom w:w="28" w:type="dxa"/>
          <w:right w:w="28" w:type="dxa"/>
        </w:tblCellMar>
      </w:tblPr>
      <w:tblGrid>
        <w:gridCol w:w="3231"/>
        <w:gridCol w:w="146"/>
        <w:gridCol w:w="229"/>
        <w:gridCol w:w="705"/>
        <w:gridCol w:w="194"/>
        <w:gridCol w:w="171"/>
        <w:gridCol w:w="229"/>
        <w:gridCol w:w="705"/>
        <w:gridCol w:w="166"/>
        <w:gridCol w:w="146"/>
        <w:gridCol w:w="196"/>
        <w:gridCol w:w="691"/>
        <w:gridCol w:w="166"/>
        <w:gridCol w:w="146"/>
        <w:gridCol w:w="196"/>
        <w:gridCol w:w="691"/>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64,334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Research and Development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research and development expense as GAAP research and development expense excluding stock-based compensation expense and related employer payroll taxes, acquisition-related items, if applicable,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research and development expense to non-GAAP research and development expense for the periods presented:</w:t>
      </w:r>
    </w:p>
    <w:p>
      <w:pPr>
        <w:pStyle w:val="TextBody"/>
        <w:bidi w:val="0"/>
        <w:jc w:val="both"/>
        <w:rPr/>
      </w:pPr>
      <w:r>
        <w:rPr/>
        <w:t> </w:t>
      </w:r>
    </w:p>
    <w:tbl>
      <w:tblPr>
        <w:tblW w:w="8579" w:type="dxa"/>
        <w:jc w:val="left"/>
        <w:tblInd w:w="0" w:type="dxa"/>
        <w:tblLayout w:type="fixed"/>
        <w:tblCellMar>
          <w:top w:w="28" w:type="dxa"/>
          <w:left w:w="28" w:type="dxa"/>
          <w:bottom w:w="28" w:type="dxa"/>
          <w:right w:w="28" w:type="dxa"/>
        </w:tblCellMar>
      </w:tblPr>
      <w:tblGrid>
        <w:gridCol w:w="3391"/>
        <w:gridCol w:w="146"/>
        <w:gridCol w:w="213"/>
        <w:gridCol w:w="751"/>
        <w:gridCol w:w="180"/>
        <w:gridCol w:w="158"/>
        <w:gridCol w:w="213"/>
        <w:gridCol w:w="718"/>
        <w:gridCol w:w="166"/>
        <w:gridCol w:w="146"/>
        <w:gridCol w:w="196"/>
        <w:gridCol w:w="691"/>
        <w:gridCol w:w="166"/>
        <w:gridCol w:w="146"/>
        <w:gridCol w:w="196"/>
        <w:gridCol w:w="691"/>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76,169</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general and administrative expense as GAAP general and administrative expense excluding stock-based compensation expense and related employer payroll taxes, acquisition-related items, if applicable,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general and administrative expense to non-GAAP general and administrative expense for the periods presented:</w:t>
      </w:r>
    </w:p>
    <w:p>
      <w:pPr>
        <w:pStyle w:val="TextBody"/>
        <w:bidi w:val="0"/>
        <w:jc w:val="both"/>
        <w:rPr/>
      </w:pPr>
      <w:r>
        <w:rPr/>
        <w:t> </w:t>
      </w:r>
    </w:p>
    <w:tbl>
      <w:tblPr>
        <w:tblW w:w="8595" w:type="dxa"/>
        <w:jc w:val="left"/>
        <w:tblInd w:w="0" w:type="dxa"/>
        <w:tblLayout w:type="fixed"/>
        <w:tblCellMar>
          <w:top w:w="28" w:type="dxa"/>
          <w:left w:w="28" w:type="dxa"/>
          <w:bottom w:w="28" w:type="dxa"/>
          <w:right w:w="28" w:type="dxa"/>
        </w:tblCellMar>
      </w:tblPr>
      <w:tblGrid>
        <w:gridCol w:w="3406"/>
        <w:gridCol w:w="146"/>
        <w:gridCol w:w="216"/>
        <w:gridCol w:w="729"/>
        <w:gridCol w:w="183"/>
        <w:gridCol w:w="161"/>
        <w:gridCol w:w="216"/>
        <w:gridCol w:w="729"/>
        <w:gridCol w:w="166"/>
        <w:gridCol w:w="146"/>
        <w:gridCol w:w="196"/>
        <w:gridCol w:w="691"/>
        <w:gridCol w:w="166"/>
        <w:gridCol w:w="146"/>
        <w:gridCol w:w="196"/>
        <w:gridCol w:w="691"/>
        <w:gridCol w:w="4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33,518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Income from Operations and Non-GAAP Operating Margin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income from operations and non-GAAP operating margin as GAAP loss from operations and GAAP operating margin, respectively, excluding stock-based compensation expense and related employer payroll taxes, amortization of acquired intangible assets, acquisition-related items, if applicable, and loss on operating lease assets. Non-GAAP operating margin represents non-GAAP income from operations as a percentage of total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loss from operations to non-GAAP income from operations and GAAP operating margin to non-GAAP operating margin for the periods presented:</w:t>
      </w:r>
    </w:p>
    <w:p>
      <w:pPr>
        <w:pStyle w:val="TextBody"/>
        <w:bidi w:val="0"/>
        <w:jc w:val="left"/>
        <w:rPr/>
      </w:pPr>
      <w:r>
        <w:rPr/>
        <w:t> </w:t>
      </w:r>
    </w:p>
    <w:tbl>
      <w:tblPr>
        <w:tblW w:w="8372" w:type="dxa"/>
        <w:jc w:val="left"/>
        <w:tblInd w:w="0" w:type="dxa"/>
        <w:tblLayout w:type="fixed"/>
        <w:tblCellMar>
          <w:top w:w="28" w:type="dxa"/>
          <w:left w:w="28" w:type="dxa"/>
          <w:bottom w:w="28" w:type="dxa"/>
          <w:right w:w="28" w:type="dxa"/>
        </w:tblCellMar>
      </w:tblPr>
      <w:tblGrid>
        <w:gridCol w:w="3231"/>
        <w:gridCol w:w="146"/>
        <w:gridCol w:w="216"/>
        <w:gridCol w:w="729"/>
        <w:gridCol w:w="183"/>
        <w:gridCol w:w="161"/>
        <w:gridCol w:w="216"/>
        <w:gridCol w:w="729"/>
        <w:gridCol w:w="166"/>
        <w:gridCol w:w="146"/>
        <w:gridCol w:w="197"/>
        <w:gridCol w:w="665"/>
        <w:gridCol w:w="167"/>
        <w:gridCol w:w="147"/>
        <w:gridCol w:w="197"/>
        <w:gridCol w:w="665"/>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(53,314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44,424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85,233</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640" w:type="dxa"/>
        <w:jc w:val="left"/>
        <w:tblInd w:w="0" w:type="dxa"/>
        <w:tblLayout w:type="fixed"/>
        <w:tblCellMar>
          <w:top w:w="28" w:type="dxa"/>
          <w:left w:w="28" w:type="dxa"/>
          <w:bottom w:w="28" w:type="dxa"/>
          <w:right w:w="28" w:type="dxa"/>
        </w:tblCellMar>
      </w:tblPr>
      <w:tblGrid>
        <w:gridCol w:w="3231"/>
        <w:gridCol w:w="146"/>
        <w:gridCol w:w="198"/>
        <w:gridCol w:w="573"/>
        <w:gridCol w:w="410"/>
        <w:gridCol w:w="198"/>
        <w:gridCol w:w="198"/>
        <w:gridCol w:w="655"/>
        <w:gridCol w:w="301"/>
        <w:gridCol w:w="146"/>
        <w:gridCol w:w="181"/>
        <w:gridCol w:w="523"/>
        <w:gridCol w:w="374"/>
        <w:gridCol w:w="181"/>
        <w:gridCol w:w="181"/>
        <w:gridCol w:w="598"/>
        <w:gridCol w:w="546"/>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Non-GAAP operating margin</w:t>
            </w: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Non-GAAP Net Income (Loss)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define non-GAAP net income (loss) as GAAP net loss, excluding stock-based compensation expense and related employer payroll taxes, amortization of acquired intangible assets, acquisition-related items, if applicable, and loss on operating lease assets, adjusted for the income tax effects on the difference between GAAP and non-GAAP expenses.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72" w:type="dxa"/>
        <w:jc w:val="left"/>
        <w:tblInd w:w="0" w:type="dxa"/>
        <w:tblLayout w:type="fixed"/>
        <w:tblCellMar>
          <w:top w:w="28" w:type="dxa"/>
          <w:left w:w="28" w:type="dxa"/>
          <w:bottom w:w="28" w:type="dxa"/>
          <w:right w:w="28" w:type="dxa"/>
        </w:tblCellMar>
      </w:tblPr>
      <w:tblGrid>
        <w:gridCol w:w="3231"/>
        <w:gridCol w:w="146"/>
        <w:gridCol w:w="216"/>
        <w:gridCol w:w="729"/>
        <w:gridCol w:w="183"/>
        <w:gridCol w:w="161"/>
        <w:gridCol w:w="216"/>
        <w:gridCol w:w="729"/>
        <w:gridCol w:w="166"/>
        <w:gridCol w:w="146"/>
        <w:gridCol w:w="197"/>
        <w:gridCol w:w="665"/>
        <w:gridCol w:w="167"/>
        <w:gridCol w:w="147"/>
        <w:gridCol w:w="197"/>
        <w:gridCol w:w="665"/>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6"/>
              </w:rPr>
            </w:pPr>
            <w:r>
              <w:rPr>
                <w:rFonts w:ascii="Times New Roman" w:hAnsi="Times New Roman"/>
                <w:color w:val="000000"/>
                <w:sz w:val="16"/>
              </w:rPr>
              <w:t xml:space="preserve">Income tax effects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39,724</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76,381</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before="240" w:after="283"/>
        <w:jc w:val="both"/>
        <w:rPr>
          <w:rFonts w:ascii="Times New Roman" w:hAnsi="Times New Roman"/>
          <w:sz w:val="11"/>
        </w:rPr>
      </w:pPr>
      <w:r>
        <w:rPr>
          <w:rFonts w:ascii="Times New Roman" w:hAnsi="Times New Roman"/>
          <w:color w:val="000000"/>
          <w:sz w:val="11"/>
        </w:rPr>
        <w:t xml:space="preserve">(1) </w:t>
      </w:r>
      <w:r>
        <w:rPr>
          <w:rFonts w:ascii="Times New Roman" w:hAnsi="Times New Roman"/>
          <w:i/>
          <w:color w:val="000000"/>
          <w:sz w:val="16"/>
        </w:rPr>
        <w:t>Effective February 1, 2026, we adopted a fixed long-term projected non-GAAP tax rate of 18%, which reflects currently available information as well as other factors and assumptions that may change over time</w:t>
      </w:r>
      <w:r>
        <w:rPr>
          <w:rFonts w:ascii="Times New Roman" w:hAnsi="Times New Roman"/>
          <w:i/>
          <w:color w:val="222222"/>
          <w:sz w:val="16"/>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define free cash flow, a non-GAAP measure, as GAAP net cash provided by operating activities less cash used for investing activities for capitalized internal use software and less cash paid for purchases of, and deposits for, property and equipment. We believe that free cash flow is a meaningful indicator of our sources of liquidity and capital requirements that provides information to management and investors that is useful in evaluating the cash flow trends of our business. Once our business needs and obligations are met, cash can be used to maintain a strong balance sheet and invest in future growth. Free cash flow has limitations as an analytical tool and should not be considered in isolation or as a substitute for analysis of our results as reported under GAAP. Other companies may calculate free cash flow or similarly titled non-GAAP measures differently, which could reduce the usefulness of free cash flow as a tool for comparison. In addition, free cash flow does not reflect mandatory debt service and other non-discretionary expenditures that are required to be made under contractual commitments and does not represent the total increase or decrease in our cash balance for any given period.</w:t>
      </w:r>
    </w:p>
    <w:p>
      <w:pPr>
        <w:pStyle w:val="TextBody"/>
        <w:bidi w:val="0"/>
        <w:jc w:val="both"/>
        <w:rPr/>
      </w:pPr>
      <w:r>
        <w:rPr/>
        <w:t> </w:t>
      </w:r>
    </w:p>
    <w:tbl>
      <w:tblPr>
        <w:tblW w:w="8561" w:type="dxa"/>
        <w:jc w:val="left"/>
        <w:tblInd w:w="0" w:type="dxa"/>
        <w:tblLayout w:type="fixed"/>
        <w:tblCellMar>
          <w:top w:w="28" w:type="dxa"/>
          <w:left w:w="28" w:type="dxa"/>
          <w:bottom w:w="28" w:type="dxa"/>
          <w:right w:w="28" w:type="dxa"/>
        </w:tblCellMar>
      </w:tblPr>
      <w:tblGrid>
        <w:gridCol w:w="3421"/>
        <w:gridCol w:w="146"/>
        <w:gridCol w:w="229"/>
        <w:gridCol w:w="705"/>
        <w:gridCol w:w="194"/>
        <w:gridCol w:w="171"/>
        <w:gridCol w:w="229"/>
        <w:gridCol w:w="705"/>
        <w:gridCol w:w="166"/>
        <w:gridCol w:w="146"/>
        <w:gridCol w:w="197"/>
        <w:gridCol w:w="665"/>
        <w:gridCol w:w="167"/>
        <w:gridCol w:w="147"/>
        <w:gridCol w:w="197"/>
        <w:gridCol w:w="665"/>
        <w:gridCol w:w="4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56,424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Deposits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Liquidity and Capital Resources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July 31, 2026, we had cash and cash equivalents of $479.5 million, which excludes restricted cash of $0.4 million, and $250.0 million available under the Amended Credit Agreement, as defined below. Cash and cash equivalents consisted of checking accounts and money market funds with maturities less than 90 days from the date of purchase.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primary cash needs are for personnel-related expenses, costs related to the provisioning of our platform services, and sales and marketing expenses. The first quarter of our fiscal year is typically the largest operating cash outflow quarter due to the payout of our annual bonuses.</w:t>
      </w:r>
    </w:p>
    <w:p>
      <w:pPr>
        <w:pStyle w:val="TextBody"/>
        <w:bidi w:val="0"/>
        <w:spacing w:before="240" w:after="283"/>
        <w:jc w:val="both"/>
        <w:rPr>
          <w:rFonts w:ascii="Times New Roman" w:hAnsi="Times New Roman"/>
          <w:sz w:val="20"/>
        </w:rPr>
      </w:pPr>
      <w:r>
        <w:rPr>
          <w:rFonts w:ascii="Times New Roman" w:hAnsi="Times New Roman"/>
          <w:color w:val="231F20"/>
          <w:sz w:val="20"/>
        </w:rPr>
        <w:t>We believe that our existing cash and cash equivalents, cash available under our Amended Credit Agreement, and cash receipts from our revenue arrangements will be sufficient to support working capital, operating lease payments and capital expenditure requirements for at least the next 12 months from the date of this Quarterly Report. Our future capital requirements and the adequacy of available funds will depend on many factors, including those set forth in the section titled “</w:t>
      </w:r>
      <w:r>
        <w:rPr>
          <w:rFonts w:ascii="Times New Roman" w:hAnsi="Times New Roman"/>
          <w:i/>
          <w:color w:val="231F20"/>
          <w:sz w:val="20"/>
        </w:rPr>
        <w:t>Risk Factors</w:t>
      </w:r>
      <w:r>
        <w:rPr>
          <w:rFonts w:ascii="Times New Roman" w:hAnsi="Times New Roman"/>
          <w:color w:val="231F20"/>
          <w:sz w:val="20"/>
        </w:rPr>
        <w:t>.” Further, in the future we may enter into arrangements to acquire or invest in businesses, products, services and technologies.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could be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Credit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January 2023, we entered into a secured credit agreement (the “Original Credit Agreement”) with Wells Fargo Bank N.A., as administrative agent and collateral agent, and certain lenders. In September 2024, we amended the Original Credit Agreement (the “First Amendment”) to, among other things, convert our existing term loan to a new term loan balance and a revolving credit facility.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January 30, 2026, we entered into a second amendment (the “Second Amendment”) to the Original Credit Agreement (as amended by the First Amendment and the Second Amendment, the “Amended Credit Agreement”) that increased the total borrowing capacity of the revolving credit facility made available under the Amended Credit Agreement from $140.0 million to $250.0 million and extended the term of the Amended Credit Agreement through January 30, 2031.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the Second Amendment (i) modified pricing and unused commitment fees payable under the Amended Credit Agreement to be based on total net leverage rather than recurring revenue, (ii) replaced the recurring revenue and liquidity financial covenants in the Original Credit Agreement with a total net leverage financial covenant, and (iii) modified certain negative covenants, including liens, indebtedness, investments, dispositions, restricted payments and restricted debt payments, to provide us with more flexibility thereunder. Prior to entering into the Second Amendment we voluntarily repaid, in full, the approximately $107.0 million term loan that was outstanding under the Original Credit Agreement. As of July 31, 2026, no loans were outstanding under the Amended Credit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summarizes our cash flows for the periods indicated:</w:t>
      </w:r>
    </w:p>
    <w:p>
      <w:pPr>
        <w:pStyle w:val="TextBody"/>
        <w:bidi w:val="0"/>
        <w:jc w:val="left"/>
        <w:rPr/>
      </w:pPr>
      <w:r>
        <w:rPr/>
        <w:t> </w:t>
      </w:r>
    </w:p>
    <w:tbl>
      <w:tblPr>
        <w:tblW w:w="6547" w:type="dxa"/>
        <w:jc w:val="left"/>
        <w:tblInd w:w="0" w:type="dxa"/>
        <w:tblLayout w:type="fixed"/>
        <w:tblCellMar>
          <w:top w:w="28" w:type="dxa"/>
          <w:left w:w="28" w:type="dxa"/>
          <w:bottom w:w="28" w:type="dxa"/>
          <w:right w:w="28" w:type="dxa"/>
        </w:tblCellMar>
      </w:tblPr>
      <w:tblGrid>
        <w:gridCol w:w="4006"/>
        <w:gridCol w:w="146"/>
        <w:gridCol w:w="146"/>
        <w:gridCol w:w="197"/>
        <w:gridCol w:w="665"/>
        <w:gridCol w:w="167"/>
        <w:gridCol w:w="147"/>
        <w:gridCol w:w="197"/>
        <w:gridCol w:w="665"/>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56,424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50,602</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231F20"/>
          <w:sz w:val="20"/>
        </w:rPr>
      </w:pPr>
      <w:r>
        <w:rPr>
          <w:rFonts w:ascii="Times New Roman" w:hAnsi="Times New Roman"/>
          <w:i/>
          <w:color w:val="231F20"/>
          <w:sz w:val="20"/>
        </w:rPr>
        <w:t>Operating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provided by operating activities was $56.4 million for the six months ended July 31, 2026. This primarily related to our non-cash charges of $171.0 million, adjusted for our net loss of $47.7 million and net cash outflows of $66.8 million from changes in our operating assets and liabilities. The primary drivers of the changes in our operating assets and liabilities related to a decrease in accrued personnel-related expenses of $29.3 million as annual corporate bonuses are paid in the first fiscal quarter, an increase of $17.1 million in accounts receivable, an increase of $10.5 million in contract assets, a decrease of lease liabilities of $7.5 million, an increase of $6.8 million in deferred contract costs, and an increase in prepaid expenses and other current assets of $4.2 million. These were partially offset by an increase of $8.3 million in other liabilities.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provided by operating activities was $25.8 million for the six months ended July 31, 2025. This primarily related to our net loss of $78.6 million and net cash outflows of $53.5 million from changes in our operating assets and liabilities. These were partially offset by non-cash charges of $157.8 million. The primary drivers of the changes in our operating assets and liabilities related to a decrease in accrued personnel-related expenses of $21.7 million, an increase in deferred contract costs and contract assets of $13.7 million, an increase of $12.7 million in accounts receivable, an increase in prepaid expenses and other current assets of $8.5 million, and a decrease of lease liabilities of $6.2 million. These were partially offset by an increase in other liabilities of $5.2 million and an increase of $2.9 million in accounts payable and other accrued expenses.</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Investing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used in investing activities was $15.5 million for the six months ended July 31, 2026. This primarily consisted of $11.4 million for the investments in capitalized internal-use software, $2.4 million in deposits for property and equipment, and $1.7 million for the purchase of property and equipment.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used in investing activities was $13.8 million for the six months ended July 31, 2025. This consisted of cash outflows of $11.4 million for the investments in capitalized internal-use software and $2.4 million for the purchase of property and equipment.</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Financing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provided by financing activities was $9.7 million for the six months ended July 31, 2026. This consisted entirely of the proceeds from the exercise of stock options.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provided by financing activities was $17.3 million for the six months ended July 31, 2025. This consisted primarily of proceeds from the exercise of stock options of $18.4 million. This was partially offset by payments related to IPO costs of $0.6 million and the repayment of debt of $0.5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Refer to Note 2 to our condensed consolidated financial statements included elsewhere in this Quarterly Report for recently adopted accounting pronouncements and new accounting pronouncements not yet adopted as of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Management’s discussion and analysis of our financial condition and results of operations is based on our consolidated financial statements and the related notes thereto, which have been prepared in accordance with GAAP. In preparing the condensed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 There have been no material changes to our critical accounting policies and estimates as described in our Annual Report on Form 10-K for the fiscal year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3" w:name="market_risk"/>
      <w:bookmarkEnd w:id="1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bookmarkStart w:id="14" w:name="risk"/>
      <w:bookmarkEnd w:id="14"/>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operations both within the United States and internationally, and we are exposed to market risk in the ordinary course of our business.</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Interest Rate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July 31, 2026, we had cash and cash equivalents of $479.5 million, which excludes restricted cash of $0.4 million. Our cash and cash equivalents are held for working capital purposes. We do not enter into investments for trading or speculative purposes. Due to the short-term nature of our investments, we have not been exposed to, nor do we anticipate being exposed to, material risks due to changes in interest rates. The effect of a hypothetical 10% change in interest rates would not have had a material impact on our unaudited condensed consolidated financial statements in the three and six months ended July 31, 2026.</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exposures to market risk for changes in interest rates relate primarily to the Amended Credit Agreement (described above), which bears floating interest rates that, in a rising interest rate environment, could increase the amount of interest paid on future amounts we may borrow under the Amended Credit Agreement.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Foreign Currency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vast majority of our cash generated from revenue is denominated in U.S. dollars, with a small amount denominated in Canadian dollars. Our expenses are generally denominated in the currencies of the jurisdictions in which we conduct our operations, which are primarily in the United States, Armenia and Canada. Our results of operations and cash flows are, therefore, subject to fluctuations due to changes in foreign currency exchange rates. The effect of a hypothetical 10% change in foreign currency exchange rates applicable to our business would not have had a material impact on our unaudited condensed consolidated financial statements in the six months ended July 31, 2026.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spacing w:before="360" w:after="283"/>
        <w:jc w:val="both"/>
        <w:rPr>
          <w:rFonts w:ascii="Times New Roman" w:hAnsi="Times New Roman"/>
          <w:sz w:val="20"/>
        </w:rPr>
      </w:pPr>
      <w:r>
        <w:rPr>
          <w:rFonts w:ascii="Times New Roman" w:hAnsi="Times New Roman"/>
          <w:b/>
          <w:i/>
          <w:color w:val="000000"/>
          <w:sz w:val="20"/>
        </w:rPr>
        <w:t>Inflation</w:t>
      </w:r>
      <w:r>
        <w:rPr>
          <w:rFonts w:ascii="Times New Roman" w:hAnsi="Times New Roman"/>
          <w:color w:val="231F20"/>
          <w:sz w:val="20"/>
        </w:rPr>
        <w:t xml:space="preserve"> </w:t>
      </w:r>
      <w:r>
        <w:rPr>
          <w:rFonts w:ascii="Times New Roman" w:hAnsi="Times New Roman"/>
          <w:b/>
          <w:i/>
          <w:color w:val="231F20"/>
          <w:sz w:val="20"/>
        </w:rPr>
        <w:t>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 </w:t>
      </w:r>
    </w:p>
    <w:p>
      <w:pPr>
        <w:pStyle w:val="TextBody"/>
        <w:bidi w:val="0"/>
        <w:spacing w:before="360" w:after="283"/>
        <w:jc w:val="both"/>
        <w:rPr>
          <w:rFonts w:ascii="Times New Roman" w:hAnsi="Times New Roman"/>
          <w:sz w:val="20"/>
        </w:rPr>
      </w:pPr>
      <w:bookmarkStart w:id="15" w:name="controls"/>
      <w:bookmarkEnd w:id="1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Limitations on Effectiveness of Disclosure Controls and Procedures</w:t>
      </w:r>
    </w:p>
    <w:p>
      <w:pPr>
        <w:pStyle w:val="TextBody"/>
        <w:bidi w:val="0"/>
        <w:spacing w:before="120" w:after="283"/>
        <w:jc w:val="both"/>
        <w:rPr>
          <w:rFonts w:ascii="Times New Roman" w:hAnsi="Times New Roman"/>
          <w:sz w:val="20"/>
        </w:rPr>
      </w:pPr>
      <w:r>
        <w:rPr>
          <w:rFonts w:ascii="Times New Roman" w:hAnsi="Times New Roman"/>
          <w:color w:val="000000"/>
          <w:sz w:val="20"/>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r>
        <w:rPr>
          <w:rFonts w:ascii="Times New Roman" w:hAnsi="Times New Roman"/>
          <w:color w:val="231F20"/>
          <w:sz w:val="20"/>
        </w:rPr>
        <w:t>.</w:t>
      </w:r>
    </w:p>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Based on that evaluation, our principal executive officer and principal financial officer concluded that, as of the end of the period covered by this Quarterly Report, our disclosure controls and procedures were effective at the reasonable assurance level.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were no changes in our internal control over financial reporting identified in connection with the evaluation required by Rules 13a-15(d) and 15d-15(d) of the Exchange Act during the quarter ended July 31, 2026 that have materially affected, or are reasonably likely to materially affect, our internal control over financial reporting.</w:t>
      </w:r>
    </w:p>
    <w:p>
      <w:pPr>
        <w:pStyle w:val="TextBody"/>
        <w:bidi w:val="0"/>
        <w:spacing w:before="36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6" w:name="part_ii_other_information"/>
      <w:bookmarkEnd w:id="16"/>
      <w:r>
        <w:rPr>
          <w:rFonts w:ascii="Times New Roman" w:hAnsi="Times New Roman"/>
          <w:b/>
          <w:color w:val="000000"/>
          <w:sz w:val="20"/>
        </w:rPr>
        <w:t>PART II—OTHER INFORMATION</w:t>
      </w:r>
    </w:p>
    <w:p>
      <w:pPr>
        <w:pStyle w:val="TextBody"/>
        <w:bidi w:val="0"/>
        <w:spacing w:before="240" w:after="283"/>
        <w:jc w:val="both"/>
        <w:rPr>
          <w:rFonts w:ascii="Times New Roman" w:hAnsi="Times New Roman"/>
          <w:sz w:val="20"/>
        </w:rPr>
      </w:pPr>
      <w:bookmarkStart w:id="17" w:name="legal_proceedings"/>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are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results of operations or financial condition. The information set forth under Note 9. Commitments and Contingencies – Litigation to the condensed consolidated financial statements included elsewhere in this Quarterly Report, is incorporated herein by reference. </w:t>
      </w:r>
    </w:p>
    <w:p>
      <w:pPr>
        <w:pStyle w:val="TextBody"/>
        <w:bidi w:val="0"/>
        <w:spacing w:before="360" w:after="283"/>
        <w:jc w:val="both"/>
        <w:rPr>
          <w:rFonts w:ascii="Times New Roman" w:hAnsi="Times New Roman"/>
          <w:sz w:val="20"/>
        </w:rPr>
      </w:pPr>
      <w:bookmarkStart w:id="18" w:name="risk_factors"/>
      <w:bookmarkEnd w:id="1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Certain factors may have a material adverse effect on our business, financial condition, and results of operations. You should carefully consider the risks and uncertainties described below, together with all of the other information in this Quarterly Report, including the section titled “Management’s Discussion and Analysis of Financial Condition and Results of Operations” and our condensed consolidated financial statements and related notes included elsewhere in this Quarterly Report. Our business, financial condition, results of operations or prospects could also be harmed by risks and uncertainties not currently known to us or that we currently do not believe are material. The risks and uncertainties described below are not exhaustive and should not be considered a complete statement of all potential risks or uncertainties that the Company faces or may face in the future. The Company may not be able to accurately predict, control or mitigate these risks.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Business and Industry</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experienced rapid growth in recent periods, and such growth may not be indicative of our future growth. If we fail to properly manage future growth, our business, financial condition, results of operations and prospects could be materially adversely affected.</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experienced rapid growth in recent periods; however, our recent revenue growth rate and financial performance should not be considered indicative of our future performance. Our overall revenue growth depends on a number of factors, including our ability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attract new customers or retain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sell our suite of value-added products, including our Pro and Max product offerings, to our existing customers or earn referral fees from our payment processing and consumer financing partners as part of our FinTech offerings;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continue to improve the functionality of and develop new products, including AI-powered products, for our platform for the trades we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enhance our platform with new features and functionality, including AI-powered ones, and develop new products and serve trades businesses in trades we do not yet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provide our customers, their technicians, employees and other staff with the onboarding experience and ongoing level of support that they require;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invest financial and operational resources to support future growth in our contractor, partner and other third-party relationships;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expand our operations domestically and internationally;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partner with third-party financial services and technology providers that are reliable and meet the needs of the trades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retain and motivate existing personnel, and attract, integrate and retain new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identify, acquire and integrate businesses, products or technologies that we believe could complement or expand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effectively plan for and model future growth;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compete with other providers of software for the trades.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You should not rely on our revenue or key business metrics for any previous quarterly or annual period as any indication of our revenue, revenue growth, key business metrics or key business metrics growth in future periods.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expect our revenue growth rate to continue to fluctuate over the short term, and even if our revenue continues to increase, our revenue growth rate may decline in future periods as the size of our business grows and we achieve higher market adoption rates. Our opportunity for future growth also depends on other factors generally outside of our control, including changes in our customers’ budgetary constraints, end-customer use of the trades we serve, regulatory and macroeconomic conditions, business practices within the trades, increased competition and consolidation of businesses within the trades. We also expect to continue to make investments in the development and expansion of our business, which may not result in increased revenue. Further, our revenue growth rate may experience increased volatility due to global societal and economic disruption. If we do not effectively address these risks and maintain revenue growth, the value of our capital stock could be adversely affected.</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a history of losses and may not be able to achieve or sustain profitability in the future.</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incurred net losses in each year since our inception, and we may not be able to achieve or maintain profitability in the future. Generally, we expect our costs will increase over time and our losses to continue as we expect to invest significant additional funds towards growing our business and continue to adjust to operating as a public company.</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 addition, we plan to continue to manage our business towards the achievement of long-term growth that we believe will positively impact long-term stockholder value, and we have expended, and expect to continue to expend, substantial financial and other resources on product development, including new and innovative core and AI functionality, products and services to address our customers’ evolving business needs, new products for adjacent markets and additional trade verticals, improved customer experience across our targeted trade verticals, and new and improved internal systems and processes designed to take advantage of AI functionality and accelerate our product development; our technology infrastructure, including systems architecture, management tools, scalability, availability, performance and security, as well as disaster recovery measures; our sales, marketing and customer success organizations; our onboarding and support organizations; acquisitions or strategic investments; expansion efforts, including geographic, market and new industry expansion; and general administration, including legal and accounting expenses as well as the increased operating expenses due to being a public company. These efforts may be more costly than we expect, may not result in increased revenue or growth in our business, and may cause significant fluctuations in our results of operations from period to period. Any failure to increase our revenue sufficiently to keep pace with our investments and other expenses could negatively impact our gross margins and prevent us from achieving or maintaining profitability or positive cash flows on a consistent basis. If we are unable to successfully address these risks and challenges as we encounter them, our business, financial condition and results of operations could be adversely affected. Moreover, although we believe our investments in our business are consistent with our strategic objective to achieve long-term growth, these decisions may not be consistent with the short-term expectations of some investors, and if we are ultimately unable to achieve profitability at the level anticipated by industry or financial analysts and our stockholders, the trading price of our Class A common stock could decline. </w:t>
      </w:r>
    </w:p>
    <w:p>
      <w:pPr>
        <w:pStyle w:val="TextBody"/>
        <w:bidi w:val="0"/>
        <w:spacing w:before="360" w:after="283"/>
        <w:jc w:val="both"/>
        <w:rPr>
          <w:rFonts w:ascii="Times New Roman" w:hAnsi="Times New Roman"/>
          <w:sz w:val="20"/>
        </w:rPr>
      </w:pPr>
      <w:r>
        <w:rPr>
          <w:rFonts w:ascii="Times New Roman" w:hAnsi="Times New Roman"/>
          <w:b/>
          <w:i/>
          <w:color w:val="231F20"/>
          <w:sz w:val="20"/>
        </w:rPr>
        <w:t>If we fail to manage our growth effectively, our brand and reputation, business, financial condition and results of operations could be adversely affected.</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experienced strong growth in our employee headcount, our revenue, our reach across trades, the number of customers we serve and the number of transactions we process on our platform, and we expect to continue to experience growth in the future. For example, our full-time employee headcount increased from 840 as of January 31, 2020 to 3,414 as of January 31, 2026, with employees added over that period both at our headquarters in Glendale, California and in a number of locations across the United States and internationally. Further, our revenue has increased significantly over prior fiscal periods. In addition, we have and may continue to pursue acquisitions to expand our business and operations. This rapid growth and organizational change have placed, and may continue to place, significant demands on our management and our operational and financial resources and could challenge our ability to develop and improve our operational, financial and management controls; enhance our reporting systems and procedures; recruit, train and retain highly skilled personnel; and maintain customer satisfaction.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Our ability to manage our growth effectively and to integrate new employees, technologies, geographies and acquisitions into our existing business will require us to continue to expand our operational and financial infrastructure and to continue to effectively integrate, develop and motivate a large number of new employees, while maintaining the beneficial aspects of our culture.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As we serve a growing number of customers and facilitate a growing number of transactions on our platform, we must continue to improve and expand our IT and financial infrastructure, operating and administrative systems and relationships with various partners and other third parties. We have established research and development hubs and we rely on engineering contractors in international markets, and we may open additional offices in the future both in the United States and abroad. Because we employ personnel internationally, we are subject to additional risks associated with foreign operations, such as labor and employment related risks, export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risks, risks related to political or regional instability and national security risks. These disruptions, and the outbreak of war in the area generally, from time to time have adversely affected, and could in the future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our organizational structure is becoming more complex as we improve our operational, financial and management controls as well as our reporting systems and procedures. We will require significant capital expenditures and our calculated allocation of valuable management resources to grow and change in these areas without undermining the corporate culture of rapid innovation, teamwork and attention to customer success that has been central to our growth so far. If we fail to manage our anticipated growth and change in a manner that preserves the key aspects of our corporate culture, the quality of our solutions may suffer, which could negatively affect our brand and reputation and our ability to retain and attract customers, which could adversely affect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231F20"/>
          <w:sz w:val="20"/>
        </w:rPr>
        <w:t>Our results of operations are likely to fluctuate from period to period, which could cause the market price of our Class A common stock to decline.</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results of operations may vary significantly from period to period, which could adversely affect our business, financial condition and results of operations and cause the market price of our Class A common stock to decline. As a result, you should not rely upon our historical results of operations as indicators of future performance. We expect that our results of operations will vary as a result of a number of factors, many of which are outside of our control and may be difficult to predict,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increase the number of new customers and expand our existing customers’ use of our platform and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retain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growth of our existing and future customers and the expansion of their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amount and timing of operating expenses and capital expenditures related to maintaining and expanding our business, operations and infrastructure, including acquiring new and maintaining existing customers and incorporating AI solutions into our business operations;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timing and success of new products or platform features introduced by us or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keep pace with technological advances and changes in practices and processes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budgeting cycles and purchasing practices of trades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economic conditions and unrest due to geopolitical conflicts, in both domestic and foreign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spending on home and commercial services, including as a result of economic trends, natural or man-made catastrophes and pandemics;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or volume of transactions processed on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trades businesses or partner requirements or market needs;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the way we organize and compensate our employees;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whether the industry for software for the trades, or our customers’ adoption of AI, develop more slowly than we expect;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successfully expand our business geographically and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timing and length of our sales cycles;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attract, develop, motivate and retain management and other skilled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the competitive landscape of our market, including consolidation among competitors or trades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our pricing policies or those of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insolvency or credit difficulties affecting our customers’ ability to purchase or pay for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significant cybersecurity breaches or other incidents impacting, technical difficulties with, or interruptions to, the use of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unusual expenses such as litigation or other dispute-related settlement payments or outcomes;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future accounting pronouncements or changes in our accounting policies or practices;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governmental or other regulations, including state and federal laws that affect our business and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variability and unpredictability of our results of operations could result in our failure to meet our expectations or those of analysts that cover us or investors with respect to revenue or other results of operations for a particular period. If we fail to meet or exceed such expectations, the market price of our Class A common stock could fall substantially, and we could face costly lawsuits, including securities class action suits.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ability to grow our customer base and increase revenue from customers will depend heavily on our ability to develop new products and enhance and improve our platform in order to meet the increasing needs of trades businesses across the trades we serve and intend to serve, respond to changes in customer demands and preferences, adapt to changes in trade industry practices, processes and technology and interoperate across an increasing range of devices, operating systems and third-party applications. Our customers may demand products and capabilities that our current platform does not have, or that our current platform cannot support, and we may need to invest significantly in research and development to build these products and capabilities. The trades businesses we serve experience their own rapid technological changes and evolving industry practices, and we may not be able to successfully adapt to those changes and practices. We may also expand our platform to include consumer-facing capabilities, which may require us to develop expertise, infrastructure and compliance programs in areas in which we have limited operating history.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new product or platform enhancements or expansions we develop or acquire might not be introduced in a timely or cost-effective manner and might not achieve the broad market acceptance necessary to generate significant revenue. If any of our competitors implement new technologies before we are able to implement them, those competitors may be able to provide more effective products and services than ours at lower prices. Competitors may also develop and introduce new products or entirely new technologies to replace our existing platform, which could make our platform obsolete or adversely affect our business. If we expand our platform to include consumer-facing capabilities, we may face new competition from established consumer-facing marketplaces and lead-generation platforms that have significant brand recognition, large existing user bases and established relationships with consumers. New products or platform enhancements or expansions may initially suffer from performance and quality issues that may negatively impact our ability to market and sell such products to new and existing customers. Additionally, we may experience difficulties with software development, design, marketing or third-party partnerships that could delay or prevent our development, introduction or implementation of new products, features, capabilities or platform expansions. Furthermore, as we incorporate AI functionality into our platform and products, our customers may be reluctant to adopt AI-powered solutions, especially agentic workflows, or adopt them more slowly than we expect. We have in the past experienced delays in our internally planned release dates of new products, features and capabilities, and there can be no assurance that new products, features, capabilities or platform expansions will be released according to schedule. If our research and development investments do not accurately anticipate customer demand, if we fail to realize the benefits of these investments by not achieving market acceptance, or our new products or platform enhancements or expansions suffer from performance or quality issues or are delayed,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incorporated and may continue to incorporate traditional artificial intelligence (“AI”), machine learning and generative AI (“GenAI”) solutions into our platform, offerings, services, and features, including those based on large language models (“LLMs”), and these applications may become more important to our operations or to our future growth over time. We expect to rely on AI solutions to help drive future growth and operational efficiencies in our business, but there can be no assurance that we will realize the desired or anticipated benefits from AI, or at all, or that the cost of AI-based solutions will be less than the value we derive from those solutions. Our investments in AI solutions may also result in more fluctuations in expenses across fiscal periods than we have historically experienced. We may also fail to properly implement or market our AI solutions. Our competitors or other third parties may incorporate AI into their products more quickly or more successfully than us, which could impair our ability to compete effectively and adversely affect our results of operations.</w:t>
      </w:r>
    </w:p>
    <w:p>
      <w:pPr>
        <w:pStyle w:val="TextBody"/>
        <w:bidi w:val="0"/>
        <w:spacing w:before="360" w:after="283"/>
        <w:jc w:val="both"/>
        <w:rPr>
          <w:rFonts w:ascii="Times New Roman" w:hAnsi="Times New Roman"/>
          <w:sz w:val="20"/>
        </w:rPr>
      </w:pPr>
      <w:r>
        <w:rPr>
          <w:rFonts w:ascii="Times New Roman" w:hAnsi="Times New Roman"/>
          <w:b/>
          <w:i/>
          <w:color w:val="231F20"/>
          <w:sz w:val="20"/>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231F20"/>
          <w:sz w:val="20"/>
        </w:rPr>
        <w:t>Our financial results and cash needs may vary greatly from quarter to quarter and year to year depending on, among other things, the business performance of our customers, the seasonality inherent in some of our customers’ businesses (</w:t>
      </w:r>
      <w:r>
        <w:rPr>
          <w:rFonts w:ascii="Times New Roman" w:hAnsi="Times New Roman"/>
          <w:i/>
          <w:color w:val="231F20"/>
          <w:sz w:val="20"/>
        </w:rPr>
        <w:t>e.g</w:t>
      </w:r>
      <w:r>
        <w:rPr>
          <w:rFonts w:ascii="Times New Roman" w:hAnsi="Times New Roman"/>
          <w:color w:val="231F20"/>
          <w:sz w:val="20"/>
        </w:rPr>
        <w:t>., air conditioning demand generally peaking in summer months), extreme weather patterns (</w:t>
      </w:r>
      <w:r>
        <w:rPr>
          <w:rFonts w:ascii="Times New Roman" w:hAnsi="Times New Roman"/>
          <w:i/>
          <w:color w:val="231F20"/>
          <w:sz w:val="20"/>
        </w:rPr>
        <w:t>e.g.</w:t>
      </w:r>
      <w:r>
        <w:rPr>
          <w:rFonts w:ascii="Times New Roman" w:hAnsi="Times New Roman"/>
          <w:color w:val="231F20"/>
          <w:sz w:val="20"/>
        </w:rPr>
        <w:t xml:space="preserve">, cold spikes causing increased demand for furnace and other home repairs), general economic conditions and the timing of holidays and other seasonal events.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Because our results may vary significantly from quarter to quarter and year to year, our financial results for one quarter or year cannot necessarily be compared to another quarter or year and may not be indicative of our future financial performance in subsequent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quarters or years. As we serve larger customers and as we enter different trade verticals, the sales cycle may increase the variation of our results from quarter to quarter and year to year.</w:t>
      </w:r>
    </w:p>
    <w:p>
      <w:pPr>
        <w:pStyle w:val="TextBody"/>
        <w:bidi w:val="0"/>
        <w:spacing w:before="360" w:after="283"/>
        <w:jc w:val="both"/>
        <w:rPr>
          <w:rFonts w:ascii="Times New Roman" w:hAnsi="Times New Roman"/>
          <w:sz w:val="20"/>
        </w:rPr>
      </w:pPr>
      <w:r>
        <w:rPr>
          <w:rFonts w:ascii="Times New Roman" w:hAnsi="Times New Roman"/>
          <w:b/>
          <w:i/>
          <w:color w:val="231F20"/>
          <w:sz w:val="20"/>
        </w:rPr>
        <w:t>Factors that adversely affect the trades industry, including industry consolidation, the increased prevalence of marketplaces for contractors, supply chain issues, tariffs on imported goods, and labor shortages, could also adversely affect the demand for our platform and, as a result, our business, financial condition and results of operations.</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derive substantially all of our revenue from sales to trades businesses in the United States and Canada and transactions processed by such businesses. As a result, macroeconomic factors that negatively impact the trades industry, including industry consolidation, increased consumer reliance on online marketplaces connecting consumers to contractors, supply chain challenges, labor shortages and a lack of demand by consumers for the services provided by the trades, could also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Consolidation of trades businesses into larger industry participants within the trades has accelerated in recent years, and this trend could continue. We have in the past suffered, and may continue to suffer, reductions in subscriptions or non-renewal of customer subscriptions due to industry consolidation. We may not be able to expand sales of our subscriptions, Pro, Max, and FinTech products to existing or new customers enough to counteract any negative impact of industry consolidation on our business. From time to time, we form beneficial relationships with industry participants who have or are intending to consolidate trade businesses. However, we may not always be able to form such relationships, and such participants may compete with us. New companies that result from such consolidation may decide to develop their own internal solutions or work with alternative providers. As these companies consolidate, competition to provide solutions and services will become more intense and establishing relationships with large industry participants will become more important. Additionally, these industry participants may also try to use their market power to negotiate price reductions for our products. If consolidation of our larger customers occurs, these consolidated companies may represent a larger percentage of business for us and, as a result, we are likely to rely more significantly on revenue from such consolidated companies to continue to achieve growth.</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Trades businesses are also experiencing supply chain challenges, including shortages of equipment, manufactured goods and supplies, which negatively affect their ability to accept and perform certain jobs. Additionally, sharply rising prices of gasoline and other fleet management costs have and may continue to affect the profitability of routes for technicians in the field, especially those involving large amounts of driving. Tariffs or other trade protection measures, and uncertainty relating to such tariffs and trade protection measures, have and may continue to also negatively impact trades businesses. In particular, the U.S. government has in the past and may in the future impose, reimpose, increase, or pause tariffs, and countries subject to such tariffs have and, in the future may, impose reciprocal tariffs or impose other protectionist or retaliatory trade measures in response. Such trade protection measures could increase the cost of raw materials, manufactured goods and supplies used in various trade verticals, or render these supplies increasingly difficult or impossible to procure, which may adversely affect the profitability of trades businesses. When such supply chain shortages and issues arise, or when costs increase due to tariffs or other trade protection measures, our customers may reduce their spending, which could result in decreased demand for our platform, as well as a decrease in the number or volume of transactions processed on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trades businesses have experienced labor shortages as a result of an aging labor force and difficulty attracting new workers into the trades. These labor shortages can prevent trades businesses from accepting new jobs, limiting their businesses and reducing their revenues. The pricing of our subscription platform is partially based on the number of technicians employed by each of our customers, and any reduction in the skilled labor force hampers the growth of our customers and may negatively impact our revenues. Accordingly, our ability to efficiently provide our platform to trades businesses and to grow or maintain our customer base, and, as a result, our business, financial condition and results of operations, could be adversely affected by these and other factors that adversely affect the trades generally.</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a limited operating history at our current scale in an evolving industry, which makes it difficult to evaluate our future prospects and may increase the risk that we are not successful.</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rapidly grown our business. For example, we first launched our platform in 2012, and our revenue grew from $120.7 million in fiscal 2020 to $961.0 million in fiscal 2026. We are expanding our sales focus to include large businesses, commercial services and construction customers, and expect to continue to explore new trades in the long-term. We have also substantially increased our headcount, invested in expanding our direct sales force and customer support teams and otherwise enhanced and developed new solutions. More recently, in response to the evolving technology landscape we have also started to incorporate AI-based solutions into our platform and internal operations. The future costs and potential benefits of those solutions remains uncertain, and the timing of when we incur those costs and when we might see the potential benefits (if any) may be subject to more fluctuation than we have historically experienced. Accordingly, we have a limited history of operations at our current scale, and our ability to forecast our future results of operations and to plan for future growth is more limited than that of companies with longer operating histories and subject to a number of uncertainties. These risks and uncertainties include our ability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accurately forecast our revenue and plan our operating expenses, including those resulting from our use of AI-based solutions;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expand our sales team and develop an efficient sales, marketing, customer success and onboarding program that effectively addresses the needs of the customers in the trades that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develop a scalable, efficient and reliable high-performance technology infrastructure;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deploy new products and solutions that address the needs of the trades that we currently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hire, integrate and retain world-class talent;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continue to partner with third-party financial services, technology and ecosystem providers that are reliable and meet the needs of the trades that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compete with other companies that currently offer, or may in the future offer, software and solutions to trades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increase revenue from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avoid interruptions or disruptions in our services or slower than expected load times for our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store, protect, use and otherwise process Personal Information in compliance with governmental regulation, contractual obligations and other legal obligations related to data protection, privacy and cybersecurity;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expand our business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predict and respond to general economic and market conditions, including those caused by pandemics such as the COVID-19 pandemic, political or social unrest or macroeconomic factors such as rising inflation, trade protection measures, increased interest rates and lower consumer confidence and/or spending;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expand our geographic reach;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defend ourselves against litigation, regulatory, intellectual property, data protection, privacy, cybersecurity or other claims;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manage a global workforce, including our growing team based in Armenia.</w:t>
      </w:r>
    </w:p>
    <w:p>
      <w:pPr>
        <w:pStyle w:val="TextBody"/>
        <w:bidi w:val="0"/>
        <w:spacing w:before="240" w:after="283"/>
        <w:jc w:val="both"/>
        <w:rPr>
          <w:rFonts w:ascii="Times New Roman" w:hAnsi="Times New Roman"/>
          <w:sz w:val="20"/>
        </w:rPr>
      </w:pPr>
      <w:r>
        <w:rPr>
          <w:rFonts w:ascii="Times New Roman" w:hAnsi="Times New Roman"/>
          <w:color w:val="231F20"/>
          <w:sz w:val="20"/>
        </w:rPr>
        <w:t>If we fail to address the risks, including those associated with the challenges listed above as well as those described elsewhere in this section titled “</w:t>
      </w:r>
      <w:r>
        <w:rPr>
          <w:rFonts w:ascii="Times New Roman" w:hAnsi="Times New Roman"/>
          <w:i/>
          <w:color w:val="231F20"/>
          <w:sz w:val="20"/>
        </w:rPr>
        <w:t>Risk Factors</w:t>
      </w:r>
      <w:r>
        <w:rPr>
          <w:rFonts w:ascii="Times New Roman" w:hAnsi="Times New Roman"/>
          <w:color w:val="231F20"/>
          <w:sz w:val="20"/>
        </w:rPr>
        <w:t>,” and difficulties that we face, our business, financial condition and results of operations could be adversely affected. Further, because we operate in a rapidly evolving market and have limited experience preparing financial forecasts, any predictions about our future revenue and expenses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360" w:after="283"/>
        <w:jc w:val="both"/>
        <w:rPr>
          <w:rFonts w:ascii="Times New Roman" w:hAnsi="Times New Roman"/>
          <w:sz w:val="20"/>
        </w:rPr>
      </w:pPr>
      <w:r>
        <w:rPr>
          <w:rFonts w:ascii="Times New Roman" w:hAnsi="Times New Roman"/>
          <w:b/>
          <w:i/>
          <w:color w:val="231F20"/>
          <w:sz w:val="20"/>
        </w:rPr>
        <w:t>We engage our team members in various ways, including direct hires, through professional employer organizations and as independent contractors. As a result of these methods of engagement, we face certain challenges and risks that can affect our business, results of operations and financial condition.</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the locations where we directly hire our employees, we must ensure compliance with the applicable local laws governing team members in those jurisdictions, including local employment and tax laws. In the locations where we utilize professional employer organizations (“PEOs”), we contract with the PEO for it to serve as “Employer of Record” for those team members engaged through the PEO in each applicable location. Under this model, team members are employed by the PEO but provide services to ServiceTitan. We also engage team members through a PEO self-employed model in certain jurisdictions where we contract with the PEO, which in turn contracts with individual team members as independent contractors. In all locations where we utilize PEOs, we rely on those PEOs to comply with local employment laws and regulations and to ensure our ownership of the intellectual property developed by the team members. We also issue equity to a substantial portion of our team members, including team members engaged through PEOs and to independent contractors, and must ensure we remain compliant with securities laws of the applicable jurisdiction where such team members are located.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 some cases, we utilize independent contractors. When we utilize a PEO or independent contractors, we face risks related to compliance with local laws and regulations. Additionally, the agreements executed between PEOs and our team members or between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us and team members engaged under the independent contractor model, may not be enforceable depending on the local laws because of the indirect relationship created through these engagement models. Accordingly, if any element of our engagement of team members through PEOs, or of our relationship with independent contractors, is found not to comply with laws or regulations, our business, financial condition and results of operations could be materially and adversely affected. Furthermore, litigation related to our model of engaging team members, if instituted against us, could result in substantial costs and divert our management’s attention and resources from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impact of economic conditions, including the resulting effect on consumer spending and on our customers’ finances and operations, may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Negative global and regional economic conditions, including conditions resulting from changes in gross domestic product growth, financial and credit market fluctuations, inflation, rising interest rates, bank failures, international trade relations, geopolitical instability and uncertainty, the outbreak of armed conflict, and resulting heightened risk of cyberattacks, intellectual property theft, and a reduction in information technology spending regardless of macroeconomic conditions could have adverse impacts on our business, results of operations and financial condition, including longer sales cycles, lower prices for our products and services, reduced sales and slower or declining growth.</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trades are impacted by economic slowdowns, tightening of economic policies, tariffs or other trade protection measures that increase the cost of or decrease the availability of imported goods, including trade disputes, fluctuations in interest rates, which can increase borrowing costs, higher or uncertain fuel prices, and other actions that affect material and equipment pricing and availability, such as higher inflation. Unfavorable or deteriorating market conditions, reductions in maintenance spend by commercial property owners or residential customers, the unavailability or increased cost of specific materials or supplies, reductions in the availability of business financing, government action which prevents or hinders the rendering of on-premise services or similar circumstances could have an adverse impact on our business. Our revenue may decrease because trades businesses may generally choose to delay or decide against purchases of software or information systems in times of unfavorable economic conditions, because workforce challenges or governmental policies prevent sufficient labor or impact the cost of labor required to meet demand, or because fewer transactions are processed on our platform, resulting in reduced fees to us. Furthermore, if the trades industry experiences a decrease in overall economic activity, the amount our customers are willing to pay for our products, or our ability to collect payments from our customers, could be reduced. Contractors may also work on fewer jobs, which would result in a reduction in transactions processed over our platform. To the extent we do not effectively address these risks and challenges,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a general economic downturn or sudden disruption in business conditions could adversely impact consumer and small business confidence, spending levels, and access to credit and desirable interest rates, which could result in consumers delaying or foregoing purchasing primary or vacation residences, or purchasing smaller homes that may require lower-value home services, businesses foregoing investment or businesses or consumers delaying, foregoing or changing the scope of potential home or business projects. Decreased spend on home and commercial services could result in fewer transactions being processed over our platform, which could cause our revenue to decrease, and could also result in less income for our customers, hampering their ability to pay for our platform. These effects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is sensitive to events and trends that impact spend across the trades, including natural disasters, pandemics and climate change.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historically been, and will continue to be, sensitive to events and trends, including pandemics, natural disasters, extreme weather events and climate change, that result in changes in demand for trades businesses. For example, hotter temperatures caused in part by climate change have led to surges in demand during the summer for our customers’ HVAC repair services. Weather events and natural disasters can also have drastic impacts on our customers and technical infrastructure and network systems. If we do not adequately prepare our systems and organization, other similar events or trends could cause a surge in activity for our customers and lead to system failures and delays in customer support, among other effects, which could harm our brand, reputation and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Pandemics, natural disasters, political crises and other unexpected events could also have a direct negative impact on our own operations. Our corporate headquarters are located in California, a region known for seismic activity and that has recently experienced severe fires, and our insurance coverage may not compensate us for losses that may occur in the event of an earthquake or other significant natural disaster, such as a fire, mudslide, flood or significant power outage. In addition, depending on the geographic location of the event, a natural disaster, or a series of smaller weather events caused by climate change, could cause performance problems with our technology infrastructure and operations, which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Although we maintain incident management and disaster response plans, in the event of a major disruption caused by a natural disaster or man-made problem, or outbreaks of pandemic diseases, we may be unable to continue our operations and may experience system interruptions, which could impede our ability to serve technicians when they are needed most. Acts of terrorism and other geopolitical unrest, including in or near Armenia, Macedonia and Poland, where certain of our employees and engineering contractors are located, could also cause disruptions in our business or the business of our contractors, partners, vendors, or the economy as a whole. All of the aforementioned risks may be further increased if our disaster recovery plans prove to be inadequate, and could generally adversely affect our brand, reputation,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market for software designed to serve the trades is evolving, and our future success depends on the growth of the trades industry and our ability to adapt, keep pace and respond effectively to evolving markets.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Widespread acceptance and use of technology by the trades in general, and our platform in particular, is critical to our future growth and success. While we believe that our platform addresses a significant market opportunity, the market may develop more slowly than we expect. If the market for software designed to serve the trades does not develop further or develops more slowly than we expect, our business, financial condition and results of operations could be adversely affected. Demand for management software by trades businesses in general, and our platform in particular, is affected by a number of factors, many of which are beyond our control. Some of these potential factors include: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awareness of the availability of software designed to serve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ease of implementation of our platform by trades businesses, and our ability to decrease time-to-value for our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availability, functionality and pricing of platforms and products that compete with ours;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industry practices or methods that may or may not be addressed by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ease of adoption and use of our platform, including AI-powered features and agentic workflows;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reliability, performance or perceived performance of our platform, including interruptions to the use of our platform and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development and awareness of our brand;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privacy, data protection, or cybersecurity breaches or incidents impacting our platform or products.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are unable to successfully address these potential factors, our business, financial condition, results of operations and prospects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industry is highly competitive, and as we expand to serve additional industries and trades, we will compete against a growing number of companies and solutions specific to those industries and trades. We compete either directly or indirectly with software vendors offering point-specific tools for specific elements of trade workflows, horizontal solutions for generic functionalities, legacy on-premise field service management applications, and narrow bundled solutions for down-market trades businesses. Examples of these software vendors include Salesforce, SAP, FieldEdge, Workwave, ServiceTrade, AccuLynx, BuildOps, HouseCall Pro, JobNimbus and Jobber. The larger enterprises with whom we currently compete, or with whom we may compete in the future, have significant financial, technical, marketing and other resources, and they are able to devote meaningful resources to the development, promotion, sale and support of their solutions and services. Some existing solutions also have extensive installed customer bases and broad customer relationships, together with longer operating histories and greater name recognition than we have. Moreover, certain trade verticals we explore may already be served by well-established companies, presenting a potential challenge in establishing a foothold within those markets.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our competitors may make substantial investments in AI, machine learning and GenAI capabilities that may allow them to replicate key aspects of our platform more quickly and cost-effectively than previously possible. While we have made, and expect to continue to make, significant investments to integrate AI, including GenAI, into our platform, AI technologies are rapidly evolving and there can be no guarantee that our platform will remain competitive as new AI technologies are developed, adopted, and integrated into software solutions. We may also face greater competition from non-specialist solutions relying on generic LLMs, GenAI and general-purpose agents to address a broad range of business needs. As we attempt to sell our platform to new and existing customers, we must convince them that our solutions are superior to other solutions available to their organizations, including generic LLMs, software created using natural language prompts and GenAI (referred to as vibe coding) and other emerging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competitors may be better able to undertake more extensive marketing campaigns and/or offer their solutions and services at a discount to ours. Their increased deployment of AI technologies may also enable them to reduce costs while improving service quality and other capabilities. To the extent any of our competitors have existing relationships with potential customers, customers may be unwilling or unable to purchase our subscriptions because of those existing relationships and this may limit our ability to successfully compete in certain markets or trades. Additionally, new entrants to the market are focused on fast and automated implementation of their solutions, and while their products do not have our complete product sets, they provide minimum functionality that small businesses may believe to be sufficient, especially if such businesses are willing to sacrifice functionality for speed of deployment. Furthermore, advancements in, and the broad availability of, AI have lowered barriers to entry and accelerated the development and speed to market of new or competing products. If we are unable to compete with these existing or potential competitors and/or their products, particularly as they enhance their offerings through AI, the demand for our platform, our customer counts, and the revenue we generate could decline, and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incorporated and are incorporating traditional AI, machine learning and GenAI into our platform. This technology is new and developing and may present operational and reputational risks or result in liability or harm to our reputation, business, results of operations or customers.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incorporated a number of AI features into our platform and believe that providing AI tools and insights will become increasingly important to the value that our solutions and services deliver to our customers. As with many developing technologies, LLMs in particular are a new and emerging technology that is in its early stages of commercial use and presents a number of inherent risks and challenges that could affect further development, adoption, and use, and therefore our business. Due to the evolving nature of the algorithms and technology underpinning LLMs, there is a risk that our AI solutions could produce inaccurate or misleading content or other discriminatory or unexpected results or behaviors (e.g., LLM hallucinatory behavior that can generate irrelevant, nonsensical or factually incorrect results). Further, the content, analyses or recommendations generated by our LLMs could produce information or other content that infringes, misappropriates or violates the intellectual property rights of others. As we integrate agentic workflows into our platform, the actions that are taken by AI-powered agents could be incorrect or unintended, resulting in negative impacts for both us and our customers. In addition, increasing use of AI creates opportunities for the potential loss or misuse of Personal Information and other data that forms part of any data set, including any of our proprietary data assets derived from our customers’ use of our platform, that was collected, used, stored, or transferred to build our AI solutions. If our access to such data sets were materially impaired, we may also be unable to further build, train and offer our AI solutions. The occurrence of any of the foregoing could harm our reputation, business or customers and could result in additional lawsuits and regulatory investigations.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our employees, third-party service providers, strategic partners, and other contractors or consultants may input inappropriate or confidential information into an AI system (in particular a system that is managed, owned or controlled by a third-party), thereby compromising our business operations, which may cause business operation disruptions, could divert the attention of management and key information technology resources, and possibly lead to security breaches, or the unauthorized access to or loss of our confidential information or other business data.</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the use of AI involves significant technical complexity and requires specialized expertise. This specialized expertise can be difficult and costly to obtain given the increasing industry focus on AI development and competition for talent. As a result, it has been and could continue to be expensive for us to maintain and advance our AI developments. We may not apply AI advancements quickly or well enough to our solutions or services to serve our customers, or we may not be able to extract the efficiencies for which AI presents an opportunity. While the use of AI presents opportunities, our failure to adequately leverage such opportunities may erode our competitive advantage, and harm our business and results of operations. Further, our AI solutions rely on third-party proprietary machine learning algorithms and LLMs provided by third parties, such as Microsoft and OpenAI. If we are unable to continue to use such third-party assets, or if such third-party assets become expensive, burdensome, or inefficient for us to use, we may be unable to continue to provide our AI solutions which could harm our business and results of operations. We also face significant competition from other companies with respect to utilizing AI technologies. To the extent AI technology development and utilization from our competitors proves to be successful, or more successful than our approach, demand for our platform, and thus our business, could be adversely affected. If we cannot develop, offer, or deploy new AI technologies as effectively, cost-efficiently, or quickly as our competitors, or if we cannot access the infrastructure needed to continue our development, our results of operations, relationships with customers and partners, and growth could be materially and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the use of AI applications may result in future cybersecurity incidents that implicate the Personal Information of end users of such applications. Any such cybersecurity incidents related to our use of AI applications could lead to litigation or other proceedings and liability, and may adversely affect our reputation, business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If any of our vendors, service providers, employees or contractors use any AI solutions in connection with our business or the services they provide to us, it may lead to the inadvertent disclosure of our confidential information, or that of our customers, into publicly available third-party training data sets, which may impact our ability to realize the benefit of, or adequately maintain, protect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and enforce our intellectual property or confidential information, harming our customers and our competitive position and business. Our ability to mitigate risks associated with disclosure of our confidential information, including in connection with AI solutions, will depend on our implementation, maintenance, monitoring and enforcement of appropriate technical and administrative safeguards, policies and procedures governing the use of AI in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any content created by using LLMs may not be subject to copyright protection, which may adversely affect our intellectual property rights in, or ability to commercialize or use, the content. In the United States, a number of civil lawsuits have been initiated related to the foregoing and other concerns, the outcome of any one of which may, among other things, require us to limit the ways in which we use AI in our business and may affect our ability to develop our AI solutions and features. While AI-related lawsuits to date have generally focused on the AI service providers themselves, our use of any output produced by a LLM may expose us to claims, increasing our risks of liability. For example, the output produced by LLMs may include information subject to certain rights of publicity or privacy laws or constitute an unauthorized derivative work of the copyrighted material used in training the underlying AI model, any of which could also create a risk of liability for us, or adversely affect our customers and our business or operations. To the extent that we do not have sufficient rights to use the data or other material or content used in or produced by the GenAI tools used in our business, or if we experience cybersecurity incidents in connection with our use of AI, it could adversely affect our reputation and expose us to legal liability or regulatory risk, including with respect to third-party intellectual property, privacy, publicity, contractual or other rights.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Failure to address AI ethics issues by us or others in our industry could undermine public confidence in AI and slow adoption of AI in our products and services.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Moreover, the regulatory framework for AI (and machine learning technology) is rapidly evolving. Already, certain existing legal regimes (e.g., relating to data privacy) regulate certain aspects of AI technologies, and many federal, state and foreign governments have enacted or are currently considering additional laws and regulations governing AI. In addition, existing laws and regulations may be amended, enjoined, interpreted or enforced in ways that would affect the operation of our business, including the way in which we use AI and machine learning technology. The scope and direction of orders, policies, rules and regulations related to AI and machine learning in the United States faces significant uncertainty. At the federal level, Congress has yet to enact significant AI legislation. Instead, federal policy on AI has been shaped by a series of executive orders that have shifted priorities and requirements substantially depending on the administration. Any such changes at the federal level could require us to expend significant resources to modify our platform, products, services, or operations to ensure compliance or remain competitive. In the absence of federal AI legislation, various U.S. states have enacted laws that regulate AI, including several laws enacted in California related to safety protocols, reporting and transparency, among other AI-related topics. In addition, Colorado’s Artificial Intelligence Act will require developers and deployers of certain AI systems to implement safeguards with respect to automated decision-making technology, Utah’s Artificial Intelligence Policy Act establishes disclosure requirements and accountability measures for the use of GenAI in certain consumer interactions, and the Texas Responsible Artificial Intelligence Governance Act prohibits the development and deployment of AI systems for certain purposes. Moreover, state AI laws and various state privacy laws, including the California Consumer Privacy Act (the “CCPA”), regulate the use of automated decision-making technology, and provide rights to consumers regarding such use. Furthermore, both federal and state regulators have recently scrutinized, and initiated enforcement actions regarding, the potential anticompetitive impacts of algorithmic models. Implementation standards and enforcement practice are likely to remain uncertain for the foreseeable future, and we cannot determine the impact future laws, regulations, or standards, or the market perception of their requirements, may have on our platform and our business. In addition, on May 21, 2024, the European Union approved the EU Artificial Intelligence Act (the “EU AI Act”), which establishes a comprehensive, risk-based governance framework for AI in the EU market. Although we are not currently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to the EU AI Act, we may become subject to it in the future, which may affect our use of AI technologies and our ability to provide, improve or commercialize our platform, and could adversely affect our business, operations and financial condition.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It is possible that further new laws and regulations will be adopted in the United States and in other non-U.S. jurisdictions, or that existing laws and regulations, including competition, antitrust, data privacy and consumer protection laws, may be interpreted or enforced in ways that would limit our ability to use AI technologies for our business, or require us to change the way we use AI technologies. We may not always be able to anticipate how to respond to these new or updated laws or regulations, and our ability to provide AI-driven insights and products may also be constrained by current or future regulatory requirements in the United States or in non-U.S. jurisdictions, which could restrict or impose burdensome and costly requirements on our ability to leverage data in innovative ways and negatively affect the performance of our products, services, and business and the way in which we use AI technologies. Further, the cost to comply with such laws or regulations, or decisions or guidance interpreting existing laws, including the redesign of our platform to achieve compliance, could be significant and could increase our operating expenses, which could adversely affect our business, financial condition and results of operations. In addition, if we fail or are perceived to fail to comply with these laws and regulations, we may face lawsuits (including class actions), investigations, enforcement actions, negative reputational impacts, and other penalties that materially impact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the estimates and assumptions we have used to calculate the size of our addressable market opportunity are inaccurate, our future growth rate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estimated the size of our addressable market opportunity based on data published by third parties and on internally generated data and assumptions. While we believe our market size information is generally reliable, such information is inherently imprecise, and relies on our and third parties’ projections, assumptions and estimates within our target market, which are necessarily subject to a high degree of uncertainty and risk due to a variety of factors, including those described in this Quarterly Report. If such third-party or internally generated data proves to be inaccurate or we make errors in our projections, assumptions or estimates based on that data, including how current customer data and trends may apply to potential future customers and the number and type of potential customers, our addressable market opportunity or our future growth rate may be less than we currently estimate. In addition, these inaccuracies or errors may cause us to divert resources from more valuable alternative projects and harm our business. The variables that go into the calculation of our market opportunity are subject to change over time, including the amount of customer GTV that we can recognize as revenue, and there is no guarantee that any particular number or percentage of addressable end customers or companies covered by our addressable target market opportunity estimates will purchase our platform at all or generate any particular level of revenue for us. Any expansion in our market depends on a number of factors, including the cost, performance and perceived value associated with our platform and those of our competitors. Even if our addressable market meets our size estimates, our business could fail to grow at similar rates, if at all, or we could capture a percentage of customer GTV as revenue that is less than we currently expect. Accordingly, the information regarding the size of our addressable market opportunity included in the documents we file or furnish with the SEC, should not be taken as indicative of our future growth.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unsuccessful in making, integrating and maintaining acquisitions, including past acquisitions.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 the past sought, and may in the future seek, to acquire or invest in businesses, joint ventures and platform technologies that we believe could complement or expand our platform, enhance our technology or otherwise offer growth opportunities. We also may enter into strategic relationships with other businesses to expand our platform, which could involve investments in other companies. Any acquisition, investment or strategic transaction, including past acquisitions may result in unforeseen operating difficulties and expenditures. In particular, we may encounter difficulties assimilating or integrating the businesses, technologies, offerings, personnel or operations of the acquired companies, particularly if the key personnel of the acquired company choose not to work for us, their offerings are not easily adapted to work with our platform, their systems and operations are difficult to integrate or we have difficulty retaining their customers. Acquisitions, including integration efforts, may also disrupt our business, require significant resources, divert significant management attention and impose legal and regulatory burdens to the extent such transactions expand our geographic footprint.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Negotiating these transactions can be time-consuming, difficult and expensive, and our ability to complete these transactions may often be subject to approvals that are beyond our control. Even if announced, we may not complete a transaction. The benefits of an acquisition or strategic transaction, including past acquisitions may also take considerable time to develop, and we cannot be certain that any particular transaction will produce the intended benefits. Further, acquisitions could result in potential dilutive issuances of equity securities, use of significant cash balances, incurrence of debt (and increased interest expense), contingent liabilities or amortization expenses related to intangible assets or write-offs of goodwill and intangible assets. If we are unable to successfully identify, complete and integrate our acquisitions and strategic transactions, we may not realize the expected benefits of such transactions or become exposed to additional liabilities, and our business, financial condition and results of operations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depends on a strong brand, and if we are not able to maintain and enhance our brand and reputation, our ability to maintain and expand our customer base will be impaired, and our business, financial condition and results of operations may be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believe that the ServiceTitan brand identity and awareness is critical to our sales and marketing efforts. We also believe that maintaining and enhancing the ServiceTitan brand is critical to maintaining and expanding our customer base and, in particular, conveying to customers that our platform offers capabilities that address the needs of the trades across a wide array of verticals. We anticipate that, as our market becomes increasingly competitive, maintaining and enhancing our brand may become increasingly difficult and expensive.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any unfavorable publicity about our company or our management, including about the quality, stability and reliability of our platform, changes to our platform, our privacy, data protection and cybersecurity practices, litigation, employee relations, regulatory enforcement and other actions involving us, as well as the perception of us and our platform by our customers and end customers, even if inaccurate, could cause a loss of confidence in us and adversely affect our brand. Such negative publicity also could have an adverse effect on the size and engagement of our customer base and could result in decreased revenue, which could have an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our management team and other highly skilled personnel, and we may fail to attract, retain, motivate or integrate highly skilled personnel, which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future success is substantially dependent on our ability to attract, retain and motivate the members of our management team and other key personnel throughout our organization. In particular, we are highly dependent on the services of Ara Mahdessian, our co-founder and Chief Executive Officer, and Vahe Kuzoyan, our co-founder and President (together, the “Co-Founders”), each of whom is critical to our ability to achieve our vision and strategic priorities. We rely on our management team in the areas of operations, security, research and development, sales and marketing, support and general and administrative functions. Our employees, including our executive officers, work for us on an “at-will” basis, which means they may terminate their employment with us at any time. If Mr. Mahdessian or Mr. Kuzoyan or one or more of our key personnel or members of our management team resigns or otherwise ceases to provide us with their services, this could impair our ability to execute our growth strategy, have a negative impact on our business, financial condition and results of operations, and cause employee morale problems and the loss of key personnel or members of our management or clients.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future success also depends, in part, on our ability to continue to attract and retain highly skilled personnel. Competition for these personnel is intense, and the industry in which we operate is generally characterized by significant competition for skilled personnel as well as high employee attrition. We may not be successful in attracting, retaining, training or motivating qualified personnel to fulfill our current or future needs. Additionally, the former employers of our new employees may attempt to assert that our new employees have breached their legal obligations, which may be time-consuming, distracting to management and may divert our resources. Our culture and brand help us attract and retain highly skilled personnel in a competitive environment. We have in the past been, and may in the future be, subject to employment law-related claims and disputes. Any negative publicity resulting from such claims or disputes could adversely affect our ability to attract and retain skilled personnel, harm our brand and otherwise require us to use or divert financial and management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Current and potential personnel also often consider the value of equity awards they receive in connection with their employment, and to the extent the perceived value of our equity awards declines, our ability to attract and retain highly skilled personnel may be harmed.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fail to attract and integrate new personnel or retain and motivate our current personnel,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create and maintain a successful company culture as we grow, our success and our business may be harmed.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believe our current corporate culture fosters innovation, teamwork, passion and focus on execution and has contributed to our success. As we grow and develop our infrastructure, including as a public company, and expand our operations both geographically and across the trades, we may find it difficult to maintain our corporate culture and/or successfully adapt our corporate culture to ongoing changes. Any failure to preserve our culture and/or successfully adapt our culture to changing conditions could harm our future success, including our ability to recruit and retain qualified personnel, innovate and operate effectively, and execute on our business strategies. If we experience any of these risks in connection with future growth, it could impair our ability to attract new customers and retain existing customers and expand their use of our platform, all of which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Customers and Revenue Model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offer high quality support for our customers, including throughout the implementation process, may harm our relationships with our customers and, consequently,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depend on our customer experience teams to provide implementation, training and support services. We have previously experienced declines in our net promoter score and if we do not provide effective onboarding services or ongoing support, customers may not receive the full benefits of our platform, may delay or forgo future expansion of their use of our platform or may seek to terminate their agreements with us. Our reputation with prospective or current customers or the trades industry could also be damaged. The number of our customers has grown significantly and due to the complexity of our product, they often heavily rely on our customer success and our customer experience teams, even for routine matters, which has put additional pressure on our customer success teams. If we experience increased customer demand for support, we may face increased costs that may harm our results of operations. As a result, if we are unable to provide efficient, high-quality customer support services, if we need to hire additional support resources, or if there is a market perception that we do not maintain high-quality customer support,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increase our customer base and achieve broader market acceptance of our platform will depend on our ability to develop and expand our sales and marketing capabilities.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subscriptions to access our platform will depend to a significant extent on our ability to expand our sales and marketing capabilities, including adapting to new trades verticals such as commercial services and specialty trades subcontractors. It is difficult to predict customer demand, customer retention, the size and growth rate of the trades industry, the entry of competitive products or the success of existing competitive products. Our sales efforts involve educating prospective customers about the uses and benefits of our Core and add-on products. We expect that we will continue to need intensive sales efforts to educate prospective customers about the uses and benefits of our platform, and we may have difficulty convincing prospective customers of the value of adopting our platform. Identifying, recruiting and training qualified sales representatives is time-consuming and resource-intensive, and they may not be fully-trained and productive for a significant amount of time following their hiring, if ever. In addition, the cost to acquire customers is high due to these considerable sales and marketing efforts.</w:t>
      </w:r>
    </w:p>
    <w:p>
      <w:pPr>
        <w:pStyle w:val="TextBody"/>
        <w:bidi w:val="0"/>
        <w:spacing w:before="240" w:after="283"/>
        <w:jc w:val="both"/>
        <w:rPr>
          <w:rFonts w:ascii="Times New Roman" w:hAnsi="Times New Roman"/>
          <w:sz w:val="20"/>
        </w:rPr>
      </w:pPr>
      <w:r>
        <w:rPr>
          <w:rFonts w:ascii="Times New Roman" w:hAnsi="Times New Roman"/>
          <w:color w:val="231F20"/>
          <w:sz w:val="20"/>
        </w:rPr>
        <w:t>We also dedicate significant resources to marketing programs, including telemarketing, branded events and digital advertising through services such as Google AdWords. The effectiveness and cost of our online advertising has varied over time, and may vary in the future, due to competition for key search terms, changes in search engine use, including changes resulting from AI use, changes in the search algorithms used by major search engines and laws, regulations and other obligations relating to privacy or data protection that affect online advertising. These efforts will require us to invest significant financial and other resources. We rely on a variety of direct marketing techniques, including telemarketing, email marketing and direct mail. Our marketing activities, and the marketing activities of our customers, are regulated under laws such as the Telephone Consumer Protection Act, the Telemarketing Sales Rule, and any state equivalents, and various other federal and state laws regarding marketing and solicitation, as well as general data protection laws, including the Controlling the Assault of Non-Solicited Pornography and Marketing Act of 2003 (the “CAN-SPAM”), and various state privacy laws, including the CCPA, and other recently passed state laws, that govern these activities and impose significant restrictions on us and our customers. Any violations or perceptions of violations of these laws and regulations may harm our business, financial condition and results of operations. Additionally, any changes to the above-mentioned laws, or any applicable privacy, data protection and cybersecurity laws, their interpretation, or enforcement of such laws by the government or private parties that further restrict the way we interact with our potential customers or generate leads could adversely affect our ability to attract customers and could harm our business, reputation and brand, financial condition and results of operations. For additional information, see “—</w:t>
      </w:r>
      <w:r>
        <w:rPr>
          <w:rFonts w:ascii="Times New Roman" w:hAnsi="Times New Roman"/>
          <w:i/>
          <w:color w:val="231F20"/>
          <w:sz w:val="20"/>
        </w:rPr>
        <w:t>Risks Related to Data Privacy, Data Protection, Cybersecurity and Technology—The collection, processing, storage, use, and disclosure of personal information are governed by a rapidly evolving framework of privacy, data protection, cybersecurity, data transfers or other laws or regulations worldwide that may limit the use and adoption of our products and services and adversely affect our business</w:t>
      </w:r>
      <w:r>
        <w:rPr>
          <w:rFonts w:ascii="Times New Roman" w:hAnsi="Times New Roman"/>
          <w:color w:val="231F2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business will be harmed if our efforts do not generate a correspondingly significant increase in revenue. Even if we are successful in convincing prospective customers of the value of our platform, they may decide not to purchase a subscription for a variety of reasons, some of which are out of our control. We spend substantial time and resources on our sales efforts without any assurance that our efforts will result in a sale. The failure of our efforts to secure sales after investing resources in a lengthy sales process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the future, we may implement changes to our pricing model. However, there is a possibility that these modifications may not achieve the intended effectiveness, potentially posing challenges in sustaining customer satisfaction, retention and overall revenue generation. Failure to achieve the desired outcomes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majority of our customers are small- and medium-sized businesses, which can be more difficult and costly to retain than large businesses and may increase the impact of economic fluctuations on us.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Due in part to industry consolidation, our largest customers are growing rapidly. However, a majority of our customers are small- and medium-sized businesses (“SMBs”), and we expect they will continue to comprise a large portion of our customer base for the foreseeable future. We define SMBs in the context of our customer base as customers that have fewer than 1,000 employees. Selling to and retaining SMBs can be more difficult than retaining large businesses, as SMBs often have higher rates of business failure and more limited resources. SMBs may not have sufficient office resources or may be constrained by other factors, such as seasonality, which makes it difficult for them to dedicate resources to the implementation, onboarding and training necessary to obtain the full benefits of our platform. SMBs are also typically more susceptible to the adverse effects of economic fluctuations. Adverse changes in the economic environment, or business failures of our SMB customers, may have a greater impact on us than on our competitors who do not focus on SMBs to the extent that we do.</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Reliance on Third Parties</w:t>
      </w:r>
    </w:p>
    <w:p>
      <w:pPr>
        <w:pStyle w:val="TextBody"/>
        <w:bidi w:val="0"/>
        <w:spacing w:before="240" w:after="283"/>
        <w:jc w:val="both"/>
        <w:rPr>
          <w:rFonts w:ascii="Times New Roman" w:hAnsi="Times New Roman"/>
          <w:sz w:val="20"/>
        </w:rPr>
      </w:pPr>
      <w:r>
        <w:rPr>
          <w:rFonts w:ascii="Times New Roman" w:hAnsi="Times New Roman"/>
          <w:b/>
          <w:i/>
          <w:color w:val="231F20"/>
          <w:sz w:val="20"/>
        </w:rPr>
        <w:t>We rely on software and services licensed from other third parties. Defects in or the loss of software or services from third parties could increase our costs and adversely affect the quality of our service.</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upon certain partners, vendors and other service providers to provide software employed by our platform or customers using our platform, including to enable cloud-based phones and GPS, payments, and manage customer payroll, and it is possible that such third-party software or services may not be reliable or easy to replace. Disruptions to the services and functionality provided by the partners and vendors upon which we rely to provide our platform and related services could cause service interruptions, and widespread outages could disrupt our services to our customers, which could adversely affect our business. Furthermore, we have in the past and may in the future have disputes with certain of our partners, vendors and other service providers. If, in connection with such a dispute, a partner, vendor or service provider terminates its relationship with us or otherwise limits the provision of their software, services or data to us, the availability or usage of our platform could be disrupted. If the partners, vendors and other service providers we rely upon cease to provide access to the software, services or data that we and our customers and consumers use, whether in connection with disputes or otherwise, do not provide access to such software and/or data on terms that we believe to be attractive or reasonable, or do not provide us with the most current version of such software, we may be required to seek comparable software and/or data from other sources, which may be more expensive or inferior, or may not be available at all, or may disrupt our services to our customers, any of which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customers’ experience and satisfaction depend upon the interoperability of our platform across devices, operating systems and third-party applications that we do not control.</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 important feature of our platform is its broad interoperability with a range of devices, web browsers, operating systems and third-party applications. We have integrations with a variety of vendors. As part of our integrations with certain vendors, we have had to make concessions limiting our ability to engage with such vendor’s competitors, which could potentially impact our customer experience and our ability to interoperate with other third-party applications. Our Application Programming Interfaces (“APIs”), enable customers to connect other third-party software, applications, partner services and data to our platform. Accordingly, we are dependent on the accessibility of our platform across web browsers, operating systems and the third-party applications that we often do not control. Third-party applications, products and services are constantly evolving, and we may not be able to maintain or modify our platform to ensure its compatibility with third-party offerings following development changes. In addition, some of our competitors may be able to disrupt the operations or compatibility of our platform with their applications that some of our customers may rely upon. If our platform has integration or operability failures with these operating systems or third-party applications, customers may not adopt our platform or our APIs and related functionality may not be useful to customers, which could adversely affect our business, financial conditions, or results of operations. Additionally, as our platform evolves and expands, we expect the types and levels of competition we face to increase. Should any of our competitors or third-party services on our platform modify their technologies, standards or terms of use in a manner that degrades the functionality or performance of our platform or is otherwise unsatisfactory to us or gives preferential treatment to our competitors’ products or services, our platform,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third-party data centers, such as Azure, to host and operate our platform, and any disruption of or interference with our use of these facilities may negatively affect our ability to maintain the performance and reliability of our platform, which could cause our business to suffer.</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depend on the continuous availability of our platform. We currently host our platform and serve our customers primarily using Microsoft Azure (“Azure”). Consequently, we have in the past and may in the future be subject to service disruptions, as well as failures to provide adequate support, for reasons that are outside of our control,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performance and availability of Azure and other third-party providers of cloud infrastructure services with the necessary speed, data capacity and security for providing reliable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decisions by Azure and other owners and operators of the data centers where our cloud infrastructure is deployed to terminate our subscriptions, discontinue services to us, shut down operations or facilities, increase prices, change service levels, limit bandwidth, declare bankruptcy or prioritize the traffic of other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physical break-ins, acts of war or terrorism, human error or interference, including by disgruntled employees, former employees or customers and other catastrophic events;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cyberattacks, including denial of service attacks, targeted at us, our data centers or the infrastructure of the Internet.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To meet the performance and other requirements of our customers, we intend to continue to make significant investments to increase capacity and to develop and implement new technologies in our cloud infrastructure operations. Any renegotiation or renewal of our agreement with Azure, or a new agreement with another provider of cloud-based services, may be on terms that are significantly less favorable to us than our current agreement. Additionally, these new technologies, which include databases, application and server optimizations, network strategies and automation, are often advanced, complex, new and untested, and we may not be successful in developing or implementing these technologies. It takes a significant amount of time to plan, develop and test improvements to our technologies and cloud infrastructure, and we may not be able to accurately forecast demand or predict the results we will realize from such improvements. To the extent that we do not effectively scale our infrastructure to meet the needs of our growing customer base and maintain performance as our customers expand their use of our platform, or if our cloud-based server costs were to increase, our business, financial condition, results of operations and prospects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procure third-party insurance policies to cover various operations-related risks including employment practices liability, workers’ compensation, business interruptions, cybersecurity and data breaches, crime, directors’ and officers’ liability, occupational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accident liability for customers and general business liabilities.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they would be unable to pay any operations-related claims that we make. Further, some of our agreements with vendors require that we procure certain types of insurance, and if we are unable to obtain and maintain such insurance, we would be in violation of the terms of these vendor agreements.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(i) the cost per claim, premiums or the number of claims significantly exceeds our historical experience and coverage limits, (ii) we experience a claim in excess of our coverage limits, (iii) our insurance providers fail to pay on our insurance claims, (iv) we experience a claim for which coverage is not provided or (v) the number of claims under our deductibles or self-insured retentions differs from historical averages.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payment processing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third-party payment processors to collect subscription fees and other usage-based revenue from our customers. Under our commercial agreements, such payment processors may terminate the relationship with advanced notice. If one of our payment processors terminates its relationship with us or refuses to renew its agreement with us on commercially reasonable terms, we would be required to find alternative payment processors and may not be able to secure similar terms or replace such payment processors in an acceptable time frame. An inability to charge our customers or collect revenue for an extended period could affect our cash flows and impair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While we do not process any payments for our customers’ end customers, we do have complex relationships with third-party processors where we generate revenue through referral agreements and as an independent sales organization (“ISO”) through our FinTech offerings to customers. A significant portion of payments by the end customers are made by credit card or debit card using these third-party payment services to which our customers have a direct contractual relationship. If one of these third- party processors terminates its relationship with us or refuses to renew its partnership with us on commercially reasonable terms, or the software and services provided by our payment processors does not meet our customer’s expectations, we may be required to find an alternative payment processor or consider offering new payment options and products ourselves that may be subject to additional regulations and risks. None of our agreements with payment processors are exclusive; however, our agreements with certain payment processors limit our ability to induce existing customers to migrate to alternative payment processors, which could potentially impact our customers’ experience or satisfaction with our services. We are also subject to a number of other laws and regulations relating to the financial solutions we offer, including with respect to money laundering, privacy and cybersecurity. If we fail to, or are alleged to fail to, comply with applicable regulations, we may be subject to claims and litigation, regulatory investigations and proceedings, civil or criminal penalties, fines or higher transaction fees and may lose the ability to offer financial solutions to customers, which could make our platform less convenient and attractive to trades businesses. We also rely on data provided by third parties for financial statement reporting, and there could be inaccuracies and other errors in such data. If any of these events were to occur,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are subject to the Payment Card Industry Data Security Standard (“PCI DSS”). The PCI DSS is a specific set of comprehensive security standards required by credit card brands for enhancing payment account data security, including, but not limited to, requirements for security management, policies, procedures, network architecture and software design, certification requirements, which could change or be reinterpreted to make it difficult or impossible for us to comply. Our third-party payment processors require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customers, be costly to implement, or difficult to follow. If we fail to comply with these rules or regulations, we may be subject to fines and higher transaction fees and lose our ability to offer payment solutions to customers. Compliance does not guarantee a completely secure environment and notwithstanding the results of a compliance assessment there can be no assurance that payment card brands will not request further compliance assessments or set forth additional requirements to maintain access to credit card processing services. Compliance is an ongoing effort and the requirements evolve as new threats are identified. In the event that we were to lose PCI DSS compliance status (or fail to renew compliance under a future version of the PCI DSS), or if our data security systems are breached or compromised, we may be liable for card-issuing banks’ costs, subject to fines and higher transaction fees and lose our ability to accept credit and debit card payments from our customers, process electronic funds transfers or facilitate other types of online payments. We have also agreed to indemnify our third-party payment processors for violating payment card networks rules. Any of the foregoing risks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Data Privacy, Data Protection, Cybersecurity and Technology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to or unauthorized access to third-party IT Systems can materially impact our operations and financial results. If we experience difficulties in implementing new or upgraded information systems or experience significant system failures, or if we are unable to successfully modify our information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systems-related problems could, in turn, adversely affect our business, reputation and brand, results of operations and financial condition.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personal information and other information about individuals, our customers, employees, contractors and business partners, including email addresses, physical addresses, phone numbers, Social Security numbers, credit card data and personally identifiable information, as well as trade secrets and other proprietary business information (collectively, “Sensitive Information”). Our third- party service providers may fail to adequately secure their or our IT Systems or our Sensitive Information. Our third-party service providers’ IT Systems have been, and may in the future be, breached or contain exploitable defects or “bugs” that could result in a breach of or disruption to our or our third-party service providers’ IT Systems and other cybersecurity risks discussed below. Our ability to monitor our service providers’ security is limited, and, in any event, third parties may be able to circumvent those security measures. Moreover, techniques used to obtain unauthorized access to systems and networks, as discussed in more detail below, change frequently and may not be known until launched against us or our third-party service providers. These risks also are heightened when service providers work remotely. Moreover, we have acquired and may continue to acquire companies with cybersecurity vulnerabilities and/or unsophisticated security measures, which exposes us to cybersecurity, operational, and financial risks, some of which may be significant.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use of our platform involves the transmission, storage and processing of Sensitive Information. The secure processing, maintenance, transmission and storage of our Sensitive Information is critical to us, and we devote significant resources to protecting this information. Additionally, remote working arrangements at our company, and many of our third-party providers, increases cybersecurity risks due to the challenges associated with managing remote computing assets and security 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face numerous and evolving cybersecurity risks that threaten the confidentiality, integrity and availability of our IT Systems and Sensitive Information,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products or services. Cyberattacks are expected to accelerate on a global basis in frequency and magnitude as threat actors are becoming increasingly sophisticated in using techniques and tools—including AI—that circumvent security controls, evade detection and remove forensic evidence. Moreover, any integration of AI into our or any of our service providers’ operations, products or services may pose new or unknown cybersecurity risks and challenges, or may magnify the potential impact of existing risks. As a result, we may be unable to detect, investigate, remediate or recover from future attacks or cybersecurity breaches or other incidents, or to avoid a material adverse impact to our IT Systems, Sensitive Information or business. In this fast-changing threat environment, our efforts may not be sufficient to identify all gaps, threats and vulnerabilities or prevent a cybersecurity breach or other incident. If we or our third-party service providers fail to respond appropriately to any identified gaps, threats or vulnerabilities, including by providing adequate funding and prioritizing strategic initiatives, or if we or our third-party service providers fail to adequately identify the gaps, threats or vulnerabilities, we face greater risk of a security incident. Notwithstanding our efforts, we and our third-party service providers have failed to and may in the future fail to detect cybersecurity breaches or other incidents, including breaches or incidents that may compromise our Confidential Information, and may face difficulties or delays in identifying any such breaches or incidents. Such breaches or incidents have resulted in and may in the future result in theft, loss, damage, or unavailability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of, or unauthorized access to or use, disclosure, modification or other processing of, Sensitive Information, loss of access to data or systems or cause other business delays or disruptions.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Third parties may attempt to compromise our employees and their access into internal IT Systems to gain access to accounts, our Sensitive Information or our IT Systems. Employee error, malfeasance or other errors could result in an actual or perceived cybersecurity breach or other incident. This risk may be heightened as we transition to an increasingly distributed workforce. In addition, our employees, customers or end customers may also be subject to cyberattacks (including social engineering/phishing) or otherwise disclose or lose control of their passwords, or use the same or similar passwords on third parties’ systems, which could lead to unauthorized access to their accounts on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unauthorized or inadvertent access to, or an actual or perceived cybersecurity breach or other incident impacting, our IT Systems or those of our third-party service providers, could result in an actual or perceived loss or unavailability of, unauthorized access to, or unauthorized use, disclosure, modification or other processing of, our Sensitive Information, regulatory investigations, enforcement actions and other proceedings, orders and other obligations, claims, demands and litigation, indemnity obligations, damages, penalties, fines and other costs in connection with actual and alleged contractual breaches, violations of applicable laws and regulations and other liabilities and our platform may be perceived as insecure and we may lose existing customers or fail to attract and retain new customers. We also could be required to divert substantial resources to prevent further cybersecurity breaches or other incidents. We have experienced cyber attacks and other incidents in the past and expect such attacks and incidents to continue in varying degrees in the future. While to date no incidents have had a material impact on our operations or financial results, we cannot guarantee that material incidents will not occur in the future. Any such breach or other incident affecting us, our third-party service providers, customers or end customers, or the perception that one has occurred, could also materially damage our reputation and adversely harm our business, financial condition and results of operations, including reducing our revenue, causing us to issue credits to customers, negatively impacting our ability to accept and process customer payment information, eroding our customers’ trust in our services and solutions, subjecting us to costly notifications to customers and individuals and costly remediation measures, resulting in loss of, and harming our ability to retain customers, harming our brand or increasing our cost of acquiring new customers, or subject us to claims by third parties that we have breached our privacy-, data protection-, cybersecurity- or confidentiality-related obligations that could materially increase our costs, adversely impact how we operate our IT Systems and collect and use customer information and competitively disadvantage our business. In addition, many governments, including all fifty states in the United States, have enacted laws requiring companies to notify individuals of certain breaches involving Sensitive Information. These mandatory disclosures regarding such a breach are costly to implement and often lead to widespread negative publicity, which may cause our customers to lose confidence in the effectiveness of our data security measures. The release of Sensitive Information may also lead to identity theft and related fraud, litigation, investigations, claims or other proceedings against us by affected individuals, customers and/or by regulators, or public statements against us by advocacy groups or others, and the outcome of such proceedings, which could include penalties or fines and could have a material and adverse effect on our business, financial condition and results of operations. In addition, we may incur large expenditures to investigate or remediate, to recover information, to repair or replace networks or IT Systems, to protect against similar future events or to comply with existing and future cybersecurity, data protection and privacy laws and regulations. In addition, the costs of maintaining adequate protection and insurance coverage against such threats, as they develop in the future (or as legal requirements related to cybersecurity increase) could be material.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maintain technology errors, omissions and cyber liability insurance policies covering certain damages. However, we cannot be certain that our coverage will be adequate for liabilities actually incurred relating to any breach or incident relating to privacy, data protection or cybersecurity, or that insurance will continue to be available to us on economically reasonable terms, or at all. Further, if another company within our industry experiences a high-profile breach or incident this might lead to a loss of trust in our industry generally, which could adversely impact our reputation and brand, and adversely harm our business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Real or perceived defects, errors, or vulnerabilities in our platform could harm our reputation and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The software underlying our platform is highly complex and may contain undetected errors or vulnerabilities, some of which may only be discovered after the code has been released. Our practice is to effect frequent releases of software updates, sometimes multiple times per day. The third-party software that we incorporate into our platform may also be subject to errors or vulnerabilities. Any errors or vulnerabilities discovered in our code or from third-party software after release could result in negative publicity, a loss of customers or loss of revenue and access or other performance issues. Such vulnerabilities could also be exploited by malicious actors and result in exposure of information of customers on our platform, or otherwise result in a cybersecurity breach or other incident. If we or our third-party service providers experience a cybersecurity breach or security incident, including any breach or incident that allows, or is perceived to allow, unauthorized access to our platform or our customers’ information, our reputation, business, financial condition and results of operations could be adversely affected. We may need to expend significant financial and development resources to analyze, correct, eliminate, or work around errors or defects or to address and eliminate vulnerabilities. Any failure to timely and effectively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resolve any such errors, defects or vulnerabilities could adversely affect our business, reputation, brand,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could be adversely impacted by changes in the Internet and mobile device accessibility of customers.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business depends on our customers’ access to our platform via a mobile device or personal computer and the Internet. Mobile operating systems, such as Android and iOS, and their respective application marketplaces that make our mobile applications available, are especially important in the context of our solution, as we address the needs of technicians in the field across trades businesses. Any changes in such systems and application marketplaces that degrade the functionality of our mobile applications or give preferential treatment to our competitors’ mobile applications could adversely affect our platform’s usage on mobile devices. If such mobile operating systems or application marketplaces limit or prohibit us from making our mobile applications available to our customers or their end customers, make changes that degrade the functionality of our mobile applications, increase the cost of using our mobile applications, impose terms of use unsatisfactory to us or modify their search or ratings algorithms in ways that are detrimental to us, or if our competitors’ placement in such mobile operating systems’ application marketplace is more prominent than the placement of our apps, our platform could be adversely impacted. Further, as new mobile devices and mobile platforms are released, there is no guarantee that certain mobile devices will continue to support our platform or effectively roll out updates to our mobile applications.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may operate in jurisdictions that provide limited Internet connectivity. Internet access and access to a mobile device or personal computer are frequently provided by companies with significant market power that could take actions that degrade, disrupt or increase the cost of customers’ ability to access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Frequent or persistent interruptions could cause existing or prospective customers to believe that our platform is unreliable, leading them to switch to our competitors, which could materially adversely affect our reputation and brand, business, financial condition, results of operations and prospects. In addition, the Internet infrastructure that we and trades businesses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collection, processing, storage, use and disclosure of personal information are governed by a rapidly evolving framework of privacy, data protection, cybersecurity, data transfer or other laws or regulations worldwide that may limit the use and adoption of our products and services and adversely affect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We receive, store, process and use a large volume of Personal Information and other customer information from a wide range of sources, including customers, potential customers, vendors and employees. There are numerous federal, state, local and international laws, regulations, industry standards and other requirements regarding privacy, data protection, cybersecurity, marketing and telemarketing activities and the storing, sharing, use, processing, transfer, disclosure and protection of Personal Information and other information, the scope and application of which are constantly changing, subject to amendment and differing interpretations, and may be inconsistent among jurisdictions, or conflict with other rules or other actual or asserted obligations. We also post privacy policies, which we are legally obligated to comply with and are subject to contractual obligations to third parties related to privacy, data protection and cybersecurity. As a result, we are subject to federal, state, local and international laws regarding data protection, privacy, cybersecurity, and the storing, sharing, use, disclosure and protection of Personal Information. The regulatory framework for data protection, privacy and cybersecurity worldwide is, and is likely to remain, uncertain for the foreseeable future, and it is possible that new laws, regulations and other requirements, or existing actual or alleged requirements and obligations, may be adopted, interpreted or applied in a manner that is inconsistent from one jurisdiction to another and may conflict with other rules or obligations or our practices. In addition, any expansion of our platform to include consumer-facing features could increase the volume and types of Personal Information we collect and process, potentially subjecting us to additional consumer protection, privacy and data protection obligations, including requirements related to consumer consent, data minimization and direct marketing.</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Regulation of data protection, privacy and cybersecurity in the United States is rapidly growing, particularly at the state level. Several states in which we operate or may in the future operate have begun enacting or modifying data privacy and security laws and regulations that may apply to our business. For example, the CCPA introduced new rights for California residents and obligations for covered businesses collecting, using, disclosing and processing Personal Information, including obligations to: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Personal Information of California residents on the business’s behalf. The enactment of the CCPA has prompted a wave of similar legislative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and general data privacy statutes that share similarities with the CCPA are now or will soon be in effect and enforceable in numerous states. These new laws, and others that will be effective in the coming years, could further complicate compliance efforts and increase legal risk and compliance costs for us, the third parties upon whom we rely, and our customers. In addition, the development of numerous U.S. state laws creates a patchwork of overlapping but different and potentially conflicting state law requirements, which could make compliance challenging. For example, in order to comply with the varying state laws around breaches involving information, we must maintain adequate security measures, which require significant investments in resources and ongoing attention. </w:t>
      </w:r>
    </w:p>
    <w:p>
      <w:pPr>
        <w:pStyle w:val="TextBody"/>
        <w:bidi w:val="0"/>
        <w:spacing w:before="240" w:after="283"/>
        <w:jc w:val="both"/>
        <w:rPr>
          <w:rFonts w:ascii="Times New Roman" w:hAnsi="Times New Roman"/>
          <w:sz w:val="20"/>
        </w:rPr>
      </w:pPr>
      <w:r>
        <w:rPr>
          <w:rFonts w:ascii="Times New Roman" w:hAnsi="Times New Roman"/>
          <w:color w:val="231F20"/>
          <w:sz w:val="20"/>
        </w:rPr>
        <w:t>Additionally, certain of our products record or transcribe phone and other conversations on behalf of our customers for coaching and other quality assurance purposes, and we also may record phone calls with our customers. With respect to the use of Personal Information for direct marketing purposes–both via telephone calls and email and text-based messaging–laws,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CAN-SPAM, and similar state consumer protection and communication privacy laws, such as California’s Invasion of Privacy Act. In particular, the Telephone Consumer Protection Act, the Telemarketing Sales Rule as interpreted and implemented by the Federal Communications Commission (“FCC”), and U.S. courts (collectively, the “TCPA”), impose significant restrictions on the use of telephone calls and text messages to residential and mobile telephone numbers as a means of communication when prior consent of the person being contacted has not been obtained. Additionally, the CAN-SPAM establishes specific requirements for commercial email messages and specifies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While we strive to ensure that our marketing communications comply with the requirements set forth in the CAN-SPAM Act, any violations could result in the FTC seeking civil penalties against us. In addition, there is a risk if our customers or end customers use our platform in a manner that does not comply with applicable law or our policies. For additional information, see “—</w:t>
      </w:r>
      <w:r>
        <w:rPr>
          <w:rFonts w:ascii="Times New Roman" w:hAnsi="Times New Roman"/>
          <w:i/>
          <w:color w:val="231F20"/>
          <w:sz w:val="20"/>
        </w:rPr>
        <w:t>Risks Related to Data Privacy, Data Protection, Cybersecurity and Technology—Our customers’ and end customers’ violation of our policies or other misuse of our platform to transmit unauthorized, offensive or illegal messages, spam, phishing scams and website links to harmful applications, record calls without consent, or for other fraudulent or illegal activity could damage our reputation and brand, and we may face a risk of litigation and liability for illegal activities on our platform and unauthorized, inaccurate or fraudulent information distributed via our platform</w:t>
      </w:r>
      <w:r>
        <w:rPr>
          <w:rFonts w:ascii="Times New Roman" w:hAnsi="Times New Roman"/>
          <w:color w:val="231F20"/>
          <w:sz w:val="20"/>
        </w:rPr>
        <w:t>.” Our and our customers’ activities must comply with the above-mentioned laws.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data protection, privacy and cybersecurity laws outside the United States, including in the European Union, United Kingdom, or Australia, may impose obligations on us, directly or by contract. For example, the General Data Protection Regulation imposes various requirements regarding the processing of Personal Information, including requirements regarding transparency, lawfulness of processing, privacy rights, compliant contracting, data minimization, data breach notification, data re-usage, data retention, security of processing and international data transfers. A number of legislative proposals in the European Union have imposed, and could continue to impose, new obligations in areas affecting our business, including the Artificial Intelligence Act and the Data Act. Some countries are considering passing, or have passed, legislation implementing data protection requirements or requiring local storage and processing of information, or similar requirements, that could increase the cost and complexity of delivering our services, and new countries and territories are adopting such legislation or other obligations with increasing frequency. With various U.S. and foreign laws and regulations imposing new and relatively burdensome obligations, and with substantial uncertainty over the interpretation and application of these laws and regulations, including the potential for various regulatory or other governmental bodies to enact new or additional laws or regulations, to issue rulings that invalidate prior laws or regulations or to increase penalties significantly, we may face challenges in addressing their requirements and making necessary changes to our policies, practices and commercial agreements, and may incur significant costs and expenses in an effort to do so, which could result in potential liability and adversely affect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federal, state, local and international laws and regulations, which, as mentioned, in some cases can be enforced by private parties in addition to government entities, are increasingly restricting the collection, processing and use of Personal Information. We continue to monitor changes and laws and regulations, and compliance with current and future customer privacy, data protection and cybersecurity laws and regulations could result in higher compliance, technical or operating costs. Any failure or perceived failure by us to comply with these laws and regulations, our privacy policies, our obligations to customers or other third parties, or any of our other actual or asserted obligations relating to privacy, data protection or cybersecurity may result in governmental investigations or enforcement actions, litigation (including individual or class action lawsuits), claims or public statements against us by consumer advocacy groups or others, and could result in significant costs in investigating and defending such claims, monetary liability, fines, penalties, loss of customers, reputational harm and loss of goodwill, or cause our customers to lose trust in us, which could have an adverse effect on our reputation and brand and have a material and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31F20"/>
          <w:sz w:val="20"/>
        </w:rPr>
        <w:t>In addition, the U.S. Department of Justice recently issued a rule entitled the Preventing Access to U.S. Sensitive Personal Data and Government-Related Data by Countries of Concern or Covered Persons, which places additional restrictions on certain data transactions involving countries of concern (</w:t>
      </w:r>
      <w:r>
        <w:rPr>
          <w:rFonts w:ascii="Times New Roman" w:hAnsi="Times New Roman"/>
          <w:i/>
          <w:color w:val="231F20"/>
          <w:sz w:val="20"/>
        </w:rPr>
        <w:t>e.g.</w:t>
      </w:r>
      <w:r>
        <w:rPr>
          <w:rFonts w:ascii="Times New Roman" w:hAnsi="Times New Roman"/>
          <w:color w:val="231F20"/>
          <w:sz w:val="20"/>
        </w:rPr>
        <w:t>, China, Russia, Iran) and covered persons (</w:t>
      </w:r>
      <w:r>
        <w:rPr>
          <w:rFonts w:ascii="Times New Roman" w:hAnsi="Times New Roman"/>
          <w:i/>
          <w:color w:val="231F20"/>
          <w:sz w:val="20"/>
        </w:rPr>
        <w:t>i.e.</w:t>
      </w:r>
      <w:r>
        <w:rPr>
          <w:rFonts w:ascii="Times New Roman" w:hAnsi="Times New Roman"/>
          <w:color w:val="231F20"/>
          <w:sz w:val="20"/>
        </w:rPr>
        <w:t>,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of our business activities such as vendor engagements, sale or sharing of data, and employment of certain individuals. Violations of the rule could lead to significant civil and criminal fines and penalties.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Furthermore, the costs of compliance with, and other burdens imposed by, the laws, regulations and policies that are applicable to the businesses of our customers may limit the adoption and use of, and reduce the overall demand for, our services. Additionally, if third parties we work with, such as vendors or service providers, violate applicable laws or regulations or our policies, such violations may also put our customers’ information or other information maintained or otherwise processed in our business at risk and could in turn have an adverse effect on our business. Any significant change to applicable laws, regulations or industry practices regarding the collection, use, retention, security, disclosure or other processing of our customers’ information, or regarding the manner in which the express or implied consent of customers for the collection, use, retention, disclosure or other processing of such information is obtained, could increase our costs and require us to modify our products and services, possibly in a material manner, which we may be unable to complete, and may limit our ability to store and process customer information or other information or develop new products and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customers’ and end customers’ violation of our policies or other misuse of our platform to transmit unauthorized, offensive or illegal messages, spam, phishing scams and website links to harmful applications, record calls without consent or for other fraudulent or illegal activity could damage our reputation and brand, and we may face a risk of litigation and liability for illegal activities on our platform and unauthorized, inaccurate or fraudulent information distributed via our platform.</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and end customers may use our platform to make telephone calls and send short message services (“SMS”), text messages to our customers. In particular, the TCPA imposes significant restrictions on the use of telephone calls and text messages to residential and mobile telephone numbers as a means of communication when prior consent of the person being contacted has not been obtained. In addition, our customers may be required to comply with registration requirements to use SMS text messages, such as A2P 10DLC registration. Our customers’ use of our platform for marketing activities must comply with the above-mentioned laws and other requirements. Despite our ongoing and substantial efforts to limit such use, certain customers or end customers may use our platform to transmit unauthorized, offensive or illegal messages, calls, spam, phishing scams and website links to harmful applications, reproduce and distribute copyrighted material or the trademarks of others without permission, launder money, traffic drugs, fraudulently sell goods or services, use credit or debit cards in an unauthorized manner, record conversations without proper notice or consent, and report inaccurate or fraudulent data or information. While these actions are in violation of our policies, our efforts to defeat spamming attacks, illegal robocalls and other fraudulent activity will not prevent all such attacks and activity. Additionally, if the measures we have taken are too restrictive and inadvertently screen proper transactions, this could diminish our customer experience. Violations of the TCPA may be enforced by the FCC or by individuals through litigation, including through costly class actions, of which numerous suits under federal and state laws have been filed in recent years against companies who conduct telemarketing and/or SMS texting programs, resulting in multi-million dollar settlements to the plaintiffs. In addition to costly and time-consuming litigation, statutory penalties for TCPA violations range from $500 to $1,500 per violation, which has been interpreted to mean per phone call and/or text message sent and therefore the fines and settlement amounts can be very significant. Due to the evolving interpretation of the TCPA’s restrictions, and the highly litigated nature of the TCPA, our and our customers’ business and results of operations may be adversely affected by regulators, including the FCC, or the courts interpreting the TCPA restrictions differently than we do, by actual or perceived violations of the TCPA, as well as by lawsuits or other claims against us and our customers relating to violations of the TCPA. The outcome of such proceedings may not be favorable, and one or more unfavorable outcomes could have a material adverse impact on our financial condition. Additionally, any changes to the TCPA, its interpretation, or enforcement of it by the government or private parties that further restrict the way we or our customers’ contact and communicate with potential customers or generate leads could harm our business, financial condition and results of operations. Additionally, we also send marketing messages via email and are subject to the CAN-SPAM, which establishes specific requirements for commercial email messages and outlines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As laws and regulations, including FTC and FCC enforcement thereof, rapidly evolve to govern the use of these communications and marketing platforms, the failure by us or our customers, or our employees or third parties acting at our direction, to abide by applicable laws and regulations could adversely impact our business, reputation and brand, financial condition and results of operations or subject us to fines or other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Such illegal use of our platform could damage our reputation and brand and we could face claims for damages, regulatory enforcement, copyright or trademark infringement, defamation, negligence or fraud. Moreover, our customers’ and end customers’ promotion of their products and services through our platform might not comply with federal, state and foreign laws. We rely on contractual representations made to us by our customers that their use of our platform will comply with our policies and applicable law. Although we retain the right to verify that customers and end customers are abiding by our policies, our customers and end customers are ultimately responsible for compliance with our policies, and we do not systematically audit our customers or end customers to confirm compliance with our policies. If we introduce features that facilitate direct interaction between our customers and their end customers through our platform, we may face increased exposure to claims related to the accuracy, quality or legality of content displayed on our platform, including our customers’ representations about their services, credentials or pricing. Our ability to rely on Section 230 of the Communications Decency Act or similar protections may depend on the nature and extent of our involvement in curating or presenting such content. Moreover, although Section 230 of the Communications Decency Act currently limits liability for third-party content posted on internet platforms, we cannot predict whether that protection will remain in effect.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also may record phone calls or other conversations on behalf of our customers for coaching or other quality assurance purposes, and our customers may also record phone calls that are placed through our platform. The actual or perceived improper calling of customer phones or recording of customer calls or other conversations may subject us to potential risks, including claims, demands and litigation, regulatory demands, investigations and other proceedings, and fines, penalties, monetary and other settlements, and other liabilities relating to laws, regulations or other actual or asserted obligations, including consumer protection laws and regulations or certain laws and regulations that require consent, including the consent of all parties in certain states, for recording. Any future such litigation or other proceedings against us, regardless of whether or not they have merit, could be costly and time-consuming to defend and may distract management and technical personnel. Among other potential claims, federal or state regulatory authorities or private groups or individuals may claim that our notices, disclosures, form or manner of obtaining consent or our policies or practices relating to these matters are not adequate or violate applicable law or other actual or asserted obligations, such as industry standards. For example, there has been a rise in lawsuits alleging violations of wiretap laws, particularly in California. Successful lawsuits alleging violations of the California Invasion of Privacy Act can result in statutory penalties of $5,000 per violation.</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adequately protect our intellectual property and our data, our business, financial condition and results of operations could be materially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a combination of trademark, trade secret, copyright and patent law and contractual restrictions to protect our intellectual property. However, effective trademark, trade secret, copyright and patent protection is expensive to develop and maintain, both in terms of initial and ongoing applicable registration requirements and expenses and the costs of maintaining, defending and enforcing our registered intellectual property rights. We make business decisions about when to seek patent protection for a particular technology feature of ours and when to rely upon copyright or trade secret protection, and the approach we select may ultimately prove to be inadequate. Even when we seek patent protection, there is no assurance that the resulting patents will effectively protect every significant feature of our platform or other proprietary technology. Given the costs and expenses of obtaining, maintaining, protecting, exploiting, defending and enforcing our registered intellectual property rights, we may choose not to obtain, maintain, protect, exploit, defend or enforce certain intellectual property rights that later turn out to be important. Further, we may not timely or successfully apply for a patent or register our trademarks or otherwise secure our intellectual property. Our efforts to protect, maintain or enforce our proprietary rights may be ineffective and could result in substantial costs and diversion of resources, which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attempt to protect our intellectual property, proprietary technology and confidential information by requiring our employees and consultants who contribute to the development of intellectual property on our behalf to enter into confidentiality and invention assignment agreements, and our vendors, customers, business partners and other third parties we share information with to enter into nondisclosure agreements. These agreements may not effectively assign all intellectual property rights to us or prevent unauthorized use or disclosure of our confidential information, trade secrets, intellectual property or proprietary technology and may not provide an adequate remedy in the event of unauthorized use, misappropriation or disclosure of our confidential information, trade secrets or proprietary technology, or infringement or misappropriation of our intellectual property. Additionally, any such agreement with respect to the assignment of intellectual property rights may be breached, and we may be forced to bring claims against third parties, or defend claims that they may bring against us, to determine the ownership of what we regard as our intellectual property. Despite our efforts to protect our proprietary rights, unauthorized parties may copy aspects of our platform or other software, technology and functionality or obtain and use information that we consider proprietary. In addition, unauthorized parties may also attempt, or successfully endeavor, to obtain our proprietary technology, confidential information and trade secrets through various methods, including through cybersecurity attacks and reverse engineering, and legal or other methods of protecting this data may be inadequate.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in the past been, and may in the future be, subject to others infringing our intellectual property rights. Competitors have adopted, and may continue to adopt, service names similar to ours, thereby harming our ability to build brand identity and possibly leading to end-customer confusion. In addition, there could be potential trade name or trademark infringement claims brought by owners of other trademarks that are similar to our trademarks.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the U.S. Patent and Trademark Office or other governmental authorities and administrative bodies in the United States and abroad may be necessary in the future to enforce our intellectual property rights and to determine the validity and scope of the proprietary rights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infringement or misappropriation assertions by third parties could result in significant costs and adversely affect our business, financial condition, results of operations and reputation.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operate in an industry with frequent intellectual property litigation. Other parties have in the past asserted, and may assert in the future, that we have infringed or misappropriated their intellectual property rights. We could be required to pay substantial damages or cease using intellectual property or technology that is deemed infringing or misappropriating. In addition, despite our efforts to ensure that our employees, consultants, vendors and service providers do not use the intellectual property and other proprietary information or know-how of third parties in their work for us, we have in the past been, and may in the future be, subject to claims that we or our employees, consultants, vendors or service providers have inadvertently or otherwise used or disclosed intellectual property, including copyrighted materials, trade secrets, software code or other proprietary information of a former employer or other third parties.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we cannot predict whether assertions of third-party intellectual property rights or claims arising from such assertions would substantially adversely affect our business, financial condition and results of operations. The defense of these claims and any future infringement or misappropriation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might also be obligated to indemnify our customers or other companies in connection with any such litigation and to obtain licenses, modify our platform or refund fees, which could harm our financial results. Further, an adverse outcome of a dispute may require us to pay damages, potentially including treble damages and attorneys’ fees if we are found to have willfully infringed a party’s patent or copyright rights, cease making, licensing or using products that are alleged to incorporate or infringe the intellectual property of others, expend additional development resources to redesign our offerings, and enter into potentially unfavorable royalty or license agreements in order to obtain the right to use necessary technologies. Royalty or licensing agreements, if required, may be unavailable on terms favorable to us, or at all. In any event, we may need to license intellectual property from third parties which may require us to pay royalties or make one-time payments. Even if these matters do not result in litigation or are resolved in our favor or without significant cash settlements, the time and resources necessary to resolve them could adversely affect our business, reputation,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platform, including our purpose-built AI solutions such as Atlas, contains third-party open-source software components, and failure to comply with the terms of the underlying open-source software licenses could compromise the proprietary nature of our platform or could require disclosure of affected proprietary software source code.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platform, including our purpose-built AI solutions such as Atlas, contains software modules licensed to us by third-party authors under “open-source” licenses.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software. In addition, open-source projects may have security and other vulnerabilities and architectural instabilities or may be otherwise subject to security attacks due to their wide availability, and are provided on an “as-is” basis. Many of the risks associated with the use of open-source software, such as the lack of warranties or assurances of title or performance, cannot be eliminated, and could, if not properly addressed, negatively affect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combine our proprietary software with open-source software in a certain manner, we could, under certain “copyleft” open-source licenses, be required to release the source code of our proprietary software under the terms of such an open-source software license, which could require us to offer our source code at little or no cost or grant other rights to our intellectual property. This could enable our competitors to create similar offerings with lower development effort, resources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we cannot assure you that our processes for controlling our use of open-source software in our products will be effective. Although we have certain procedures in place to monitor our use of open-source software that are designed to ensure that none is used in a manner that would require us to disclose our proprietary source code or that would otherwise breach the terms of an open-source license, such use could inadvertently occur, or could be claimed to have occurred, in part because open-source license terms are often ambiguous. In addition, the terms of many open-source licenses have not been interpreted by U.S. or foreign courts, and there is a risk that these licenses could be construed in a way that could impose unanticipated conditions or restrictions on our ability to provide or distribute our platform. From time to time, there have been claims against companies that incorporate open-source software into their solutions, challenging such companies’ rights to use the open-source. As a result, we could be subject to lawsuits by parties claiming ownership of what we believe to be open-source software and alleging that we do not have the rights to use, incorporate, distribute, or modify such software. Additionally, if we are held to have breached or failed to fully comply with all the terms and conditions of an open-source software license, we could face infringement or other liability, or be required to seek costly licenses from third parties on terms that are not economically feasible to continue providing our platform,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Legal and Regulatory Environment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involved in claims, lawsuits, government investigations and other proceedings that may harm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From time to time, we have been, and may in the future become, involved in various investigations or legal proceedings relating to matters incidental to the ordinary course of our business, including intellectual property, commercial, product liability, employment, class action, whistleblower, wiretapping and other litigation and claims and governmental and other regulatory investigations and proceedings. For example, plaintiffs have sought to apply federal wiretap laws, such as the Federal Wiretap Act, and similar U.S. state laws, such as California’s Invasion of Privacy Act, to certain advertising online tracking, and voice recording practices. We have received one or more claims of violation of California’s Invasion of Privacy Act. None have resulted in significant liability or expense; however, similar claims may in the future. Such laws include private causes of action, and could result in significant monetary liability to address, including settlement costs, even if these causes of action are meritless. The number and significance of these potential claims and disputes may increase as our business expands.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may harm our financial condition and results of operations. Because of the potential risks, expenses and uncertainties of litigation, we may, from time to time, settle disputes, even where we have meritorious claims or defenses, by agreeing to settlement agreements. Any of the foregoing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is subject to extensive government regulation and oversight. Our failure to comply with extensive, complex, overlapping and frequently changing rules, regulations and legal interpretations could adversely affect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and data protection,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the provision of online payment services, payroll compliance, the design and operation of websites and the characteristics and quality of products that are offered online. The application and interpretation of these laws and regulations may be uncertain or may change over time, and it may not be clear in every jurisdiction how existing laws and regulations governing such areas apply to our business or will be enforced. If we fail, or are alleged to have failed, to comply with applicable laws and regulations, we could be subject to investigations, claims, regulatory proceedings, fines, penalties or reputational harm, which could materially and adversely affect our business, financial condition and results of operations.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contractor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Significant additional laws or regulations, or our failure to comply with any laws and regulations that now, or could in the future, apply to our business could materially adversely affect our business, financial condition, results of operations and prospects.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changes in regulations could negatively impact the business environment for the trades industry. Laws and regulations are rapidly evolving and may change significantly in the future. In particular, our customers are subject to a wide range of laws and regulations related to payroll, employment, data protection, privacy and marketing, and our business could be adversely affected should our solutions and platform not be able to keep pace with such regulatory changes.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expansion of our operations outside the United States, which subjects us to additional costs and risks,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While we currently operate primarily in the United States and Canada, a significant portion of our workforce comprises engineering service providers distributed internationally, including, but not limited to, persons in Armenia, Macedonia, and Poland, and our international contract workforce has grown as a result of our acquisitions. We have and may continue to expand our international operations, which may include opening offices in new jurisdictions and providing our platform in additional countries.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our access to this workforce is disrupted, our business may be adversely affected and we may not be able to grow effectively. Geopolitical events and local government and other actions, including armed conflicts, or sanctions imposed by the United States on countries in which members of our workforce reside, may reduce the availability of or disrupt communication with these workforces, or delay projects under development by the distributed teams. Our continued ability to grow and compete effectively depends on these workforces, so their limited availability or unavailability would impact our performance.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new markets or countries into which we attempt to sell subscriptions to access our platform may not be receptive to our efforts. For example, we may not be able to expand further in some markets if we are not able to adapt our platform to fit the needs of prospective customers in those markets or if we are unable to satisfy certain country- and industry-specific laws or regulations. In addition, future international expansion will also require considerable management attention and the investment of significant resources while subjecting us to new risks and increasing certain risks that we already face, including risks associated with: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recruiting and retaining talented and capable employees outside the United States, including employees who speak multiple languages and come from a wide variety of different cultural backgrounds and customs;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maintaining our company culture across all of our global offices;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providing our platform in different languages;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compliance with applicable international laws and regulations, including laws and regulations with respect to employment, construction, privacy, data protection, cybersecurity, consumer protection and unsolicited email, and the risk of penalties and fines against us and individual members of management or employees if our practices are deemed to be out of compliance;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managing an employee base in jurisdictions with differing employment regulations;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operating in jurisdictions that do not protect intellectual property rights to the same extent as the United States and navigating the practical enforcement of such intellectual property rights outside of the United States;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risk of changes in foreign laws that could restrict our ability to use our intellectual property outside of the foreign jurisdiction in which we developed it;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compliance by us and our partners with anti-corruption laws, competition laws, import and export control laws, tariffs, trade barriers, economic sanctions and other regulatory limitations on our ability to provide our platform in certain international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political and economic instability;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diplomatic and trade relationships, including the imposition of new trade restrictions, trade protection measures, import or export requirements, trade embargoes and other trade barriers;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generally longer payment cycles and greater difficulty in collecting accounts receivable;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foreign currency risk;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double taxation of our international earnings and potentially adverse tax consequences due to changes in the income and other tax laws of the United States or the international jurisdictions in which we operate;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higher costs of doing business internationally, including increased accounting, travel, infrastructure and legal compliance costs.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with laws and regulations applicable to our global operations substantially increases our cost of doing business.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which could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governmental export and import controls and economic sanctions programs that could impair our ability to compete in international markets or subject us to liability if we violate these controls.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Certain of our products may be subject to various restrictions under U.S. and foreign export control and economic sanctions laws and regulations, including the U.S. Export Administration Regulations and economic and trade sanctions regulations administered by the Office of Foreign Assets Control (“OFAC”). The export of or provision of our platform must be made in compliance with these laws and regulations. Although we take precautions to prevent our products and technology from being provided in violation of such laws, our products and technology could in the future be provided inadvertently in violation of such laws, despite the precautions we take.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 consuming, is not guaranteed, and may result in the delay or loss of sales opportunities. In addition, changes in our platform, or changes in applicable export or economic sanctions regulations may create delays in the introduction and deployment of our platform in international markets, or, in some cases, prevent the export or provision of our platform to certain countries or end customers. A change in export or economic sanctions regulations, shift in the enforcement or scope of existing regulations or change in the countries, governments, persons or technologies targeted by such regulations, could also result in decreased use of our platform, or in our decreased ability to export or provide our platform to existing or prospective customers with international operations. Any decreased use of our platform or limitation on our ability to export or provide our platform may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with applicable regulatory requirements regarding the export and provision of our platform, including with respect to new releases of our platform, may create delays in the introduction of our platform in international markets, prevent our customers with international operations from deploying and using our platform throughout their globally distributed systems or, in some cases, prevent the export or provision of our platform to some countries altogether.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Russian military action against Ukraine has adversely affected, and could continue to adversely affect, our operations and the productivity of our employees.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a significant number of personnel, including both employees and contractors, in Armenia as well as Poland and other European countries, and we had engineering contractors in Russia prior to U.S. sanctions against Russia. In late February 2022, Russian military forces launched significant military action against Ukraine, which has and could continue to cause sustained conflict and disruption in nearby countries like Armenia, Macedonia, and Poland.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As a result of the situation in Ukraine, new and stricter sanctions have been imposed by the United States, Canada, the United Kingdom, the European Union and other countries and organizations against officials, individuals, regions and industries in Russia. Soon after the Russian military action began, in response to U.S. sanctions, we restricted our Russian engineering contractors’ access to our software and arranged to move approximately 50 contractors out of Russia for the purpose of continuing to perform engineering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services for us. Intensified military activities or the implementation of more extensive sanctions impacting the region could also adversely affect our operations and the productivity of our employees in Armenia, Macedonia, and Poland and other European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anti-corruption and anti-bribery laws and anti-money laundering laws and similar laws, and non-compliance with such laws can subject us to criminal penalties or significant fines and harm our business and reputation.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are subject to the Foreign Corrupt Practices Act (the “FCPA”), the U.S. domestic bribery statute contained in 18 U.S.C. § 201, the U.S. Travel Act, and other anti-corruption and anti-bribery laws, U.S. anti-money laundering laws, and similar laws in countries where we conduct activities. Anti-corruption and anti-bribery laws have historically been enforced aggressively and are interpreted broadly and prohibit companies, their employees, agents, representatives, business partners and third-party intermediaries from promising, authorizing, making, offering or providing, directly or indirectly, improper payments or benefits to recipients in the public or private sector, including anything of value to a “foreign official” for the purposes of influencing official decisions or obtaining or retaining business, or otherwise obtaining favorable treatment. Anti-money laundering laws generally prohibit persons from engaging in transactions where the proceeds at issue derive from, or are intended to facilitate or conceal, illegal activity, or where a party to the transaction is “willfully blind” to the illegal sources of the proceeds. If and when we increase our international sales and operations, our risks under these laws may increase.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use third parties to sell access to our platform and conduct business on our behalf abroad. We, our employees, agents, representatives, business partners and third-party intermediaries may have direct or indirect interactions with officials and employees of government agencies or state-owned or affiliated entities, and we can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laws also require that we keep accurate books and records and maintain internal controls and compliance procedures designed to prevent any such actions.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allegations or violations of the FCPA or other applicable anti-corruption laws, anti-money laundering laws or other laws could result in whistleblower complaints, sanctions, settlements, prosecution, enforcement actions, fines, damages, adverse media coverage, investigations, loss of export privileges, severe criminal or civil sanctions and suspension or debarment from government contracts. Responding to any investigation or action will likely result in a materially significant diversion of management attention and resources and significant defense costs and other professional fees. Any of the foregoing may harm our reputation, growth prospects,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Financial, Tax and Accounting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internal control over financial reporting may not continue to be effective and we may experience material weaknesses in the future, which could affect the reliability of our financial statements and have other adverse consequences.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a public company, we are required, pursuant to Section 404(a) of the Sarbanes-Oxley Act, to furnish a report by management on, among other things, the effectiveness of our internal control over financial reporting for each Annual Report on Form 10-K we file with the SEC. This assessment includes disclosure of any material weaknesses identified by our management in internal control over financial reporting. Further, our independent registered public accounting firm is required to attest to the effectiveness of our internal control over financial reporting in each Annual Report on Form 10-K filed by us with the SEC. We have previously identified material weaknesses in our internal control over financial reporting. As of January 31, 2024, we completed our remediation efforts, including the testing of the operating effectiveness of the controls, and we concluded that the material weaknesses have been remediated. As of January 31, 2026, we concluded our internal control over financial reporting was effective. However, we recognize that maintaining effective internal control over financial reporting will continue to require significant attention from management and expense, and we cannot guarantee that we will not identify material weaknesses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market price of our Class A common stock. A material weakness in our internal control over financial reporting could also result in an increased probability of fraud, litigation from our shareholders, reduction in our ability to obtain financing, and require additional expenditures to remediate.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unable to generate sufficient cash flow to satisfy future debt service obligations, which could have an adverse effect on our business, financial condition, results of operations and 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July 31, 2026, we did not have any outstanding indebtedness. However, we may incur indebtedness in the future, including under our Amended Credit Agreement. Our ability to make payments on or to refinance future debt obligations, including under our Amended Credit Agreement,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or interest on any future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future debt service obligations. Our ability to restructure or refinance future debt will depend on the condition of the capital markets and our financial condition at such time. Any refinancing of debt could be at higher interest rates and could require us to comply with more onerous covenants, which could further restrict our business operations. In addition, we cannot assure you that we will be able to refinance any future indebtedness on commercially reasonable terms, or at all.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are unable to repay or otherwise refinance indebtedness when due, if we fail to comply with financial or other covenants in our debt service agreements, which include a net leverage covenant, or if any other event of default is not cured or waived, the applicable lenders could accelerate our outstanding obligations or foreclose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Amended Credit Agreement or the exercise by the applicable lenders of their rights under the security documents could have an adverse effect on our business, financial condition and results of operations and could have a material adverse effect on the trading price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Amended Credit Agreement contains financial covenants and other restrictions on our actions that may limit our operational flexibility or otherwise adversely affect our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terms of the Amended Credit Agreement include a number of covenants that limit our ability and our subsidiaries’ ability to, among other things, incur additional indebtedness, grant liens, merge or consolidate with other companies or sell substantially all of our assets, pay dividends, make redemptions and repurchases of stock, make investments, loans and acquisitions or engage in transactions with affiliates. The terms of the Amended Credit Agreement also include financial covenants, including a net leverage covenant. The terms of the Amended Credit Agreement may restrict our current and future operations and could adversely affect our ability to finance our future operations or capital needs. In addition, complying with these covenants may make it more difficult for us to successfully execute our business strategy, including potential acquisitions, and compete against companies which are not subject to such restrictions.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which may not be available on terms acceptable to us, or at all and, if available, may cause dilution to our stockholders.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intend to continue to make investments to support our business growth and may require additional funds to respond to business challenges, including the need to develop new products or enhance our existing platform, improve our operating infrastructure or acquire complementary businesses and technologies. We may require additional financing to meet our working capital and capital expenditure in the future. Accordingly, we may need to engage in equity or debt financings to secure additional funds. If we raise additional funds through future issuances of equity, equity-linked securities or convertible debt securities, our existing stockholders could suffer significant dilution, and any new securities we issue could have rights, preferences and privileges superior to those of holders of our Class A common stock. Debt financings increase expenses, may contain covenants that restrict the operation of our business, and must be repaid regardless of our results of operations. For example, covenants contained in our Amended Credit Agreement limit our ability to pay dividends, to create, incur or assume indebtedness or liens, to consummate certain strategic transactions, to engage in transactions with affiliates and to make certain investments.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evaluate financing opportunities from time to time, and our ability to obtain financing will depend, among other things, on our development efforts, business plans and operating performance and the condition of the capital markets at the time we seek financing.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impaired, and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market price of our Class A common stock.</w:t>
      </w:r>
    </w:p>
    <w:p>
      <w:pPr>
        <w:pStyle w:val="TextBody"/>
        <w:bidi w:val="0"/>
        <w:spacing w:before="120" w:after="283"/>
        <w:jc w:val="both"/>
        <w:rPr>
          <w:rFonts w:ascii="Times New Roman" w:hAnsi="Times New Roman"/>
          <w:sz w:val="20"/>
        </w:rPr>
      </w:pPr>
      <w:r>
        <w:rPr>
          <w:rFonts w:ascii="Times New Roman" w:hAnsi="Times New Roman"/>
          <w:color w:val="231F20"/>
          <w:sz w:val="20"/>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as described in the section titled “</w:t>
      </w:r>
      <w:r>
        <w:rPr>
          <w:rFonts w:ascii="Times New Roman" w:hAnsi="Times New Roman"/>
          <w:i/>
          <w:color w:val="231F20"/>
          <w:sz w:val="20"/>
        </w:rPr>
        <w:t>Management’s Discussion and Analysis of Financial Condition and Results of Operations</w:t>
      </w:r>
      <w:r>
        <w:rPr>
          <w:rFonts w:ascii="Times New Roman" w:hAnsi="Times New Roman"/>
          <w:color w:val="231F20"/>
          <w:sz w:val="20"/>
        </w:rPr>
        <w:t>.”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revenue recognition, and fair value of assets acquired and liabilities assumed in a business combination.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market price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assumptions and estimates to calculate certain of our key metrics, and real or perceived inaccuracies in such metrics may harm our reputation and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track certain operational metrics, including the number of Active Customers, which we define as customers with over $10,000 of annualized billings,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We may also discover unexpected errors in the data that we are using that resulted from technical or other errors. If the internal systems and tools we use to track these metrics undercount or overcount performance or contain algorithmic or other technical errors, the data we report may not be accurate. If we determine that any of our metrics or figures are not accurate, we may be required to revise or cease reporting such metrics or figures. While these numbers are based on what we believe to be reasonable estimates of our metrics for the applicable period of measurement, there are inherent challenges in measuring these metrics. Limitations or errors with respect to how we measure data or with respect to the data that we measure may affect our understanding of certain details of our business, which could affect our long-term strategies. In addition, our methodology for calculating these metrics may differ from the methodology used by other companies to calculate similar metrics and figures. If our operating metrics are not accurate representations of our business, if investors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perceive our operating metrics to be accurate or if we discover material inaccuracies with respect to these figures, we expect that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as a public company requires us to incur substantial costs and will require substantial management attention.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As a public company, we incur substantial legal, accounting and other expenses that we did not incur as a private company. For example, we are subject to the reporting requirements of the Exchange Act, the applicable requirements of the Sarbanes-Oxley Act of 2002, as amended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and results of operations. Compliance with these rules and regulations has increased and is expected to continue to increase our legal and financial compliance costs, and increase demand on our systems, particularly since, as of January 31, 2026, we are no longer an Emerging Growth Company and are now a large accelerated filer. As a result of disclosure of information in filings we make with the SEC and other public-facing communications we make from time to time, our business, financial condition and results of operations are more visible, which may result in threatened or actual litigation, and may benefit our competitors to our detriment. In addition, as a public company, we may be subject to stockholder activism, which can lead to additional substantial costs, distract management and impact the manner in which we operate our business in ways we cannot currently anticipate, and which may negatively affect our ability to run our business in accordance with management’s current strategic objectives.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requirements of being a large accelerated filer have increased our legal, accounting and financial compliance costs and costs associated with investor relations activities, and we expect such increases to continue. Such requirements also cause management and other personnel to divert attention from operational and other business matters to devote substantial time to public company reporting requirements. In addition, if we are not able to comply with public company reporting requirements, including in a timely manner, we could lose investor confidence in the accuracy and completeness of our reporting, the market price of our stock could decline and we could be subject to sanctions or investigations by Nasdaq, the SEC or other regulatory authorities, or litigation, any of which would require additional financial and management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Certain members of our management team have limited experience managing a publicly traded company, and certain members joined us more recently. As such, our management team may not successfully or efficiently manage our significant regulatory oversight and reporting obligations and the continuous scrutiny of securities analysts and investors. These public company obligations and constituents require significant attention from our senior management and could divert their attention away from the day-to-day management of our business, which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utilize our federal net operating loss carryforwards (“NOLs”) may be limited under Sections 382 and 383 of the Internal Revenue Code of 1986, as amended. These limitations apply if we experience an “ownership change,” which is generally defined as a greater than 50 percentage point change (by value) in the ownership of our equity by certain stockholders over a rolling three-year period.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conducted a formal study through January 31, 2026 that concluded that there had been prior ownership changes and that our utilization of pre-change tax attribute carryforwards will be subject to annual limitations. However, it is not expected that the annual limitations will result in the expiration of tax attribute carryforwards prior to utilization.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tax attribute carryforwards. Future changes in our stock ownership, some of which may be outside of our control, may result in an ownership change under these rules.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There is a risk that due to changes in tax law, regulatory changes or other unforeseen reasons, our existing NOLs and other tax attributes could expire or otherwise become unavailable to offset future income tax liabilities. At the state level, there may also be periods during which the use of NOLs and other tax attributes is suspended or otherwise limited, which could accelerate or permanently increase state taxes owed by us. For these reasons, we may not be able to realize a tax benefit from the use of our NOLs and other tax attributes, even if we attain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may be harmed if we are required to collect or pay sales or other taxes in jurisdictions where we have not historically done so.</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States and some local taxing jurisdictions have differing rules and regulations governing sales, use and other taxes, such as gross receipts taxes, excise taxes, and telecom taxes, and these rules and regulations are subject to varying interpretations that may change over time. The application of federal, state, local and non-U.S. tax laws to services provided electronically is evolving. In particular, the applicability of sales taxes and other taxes to our platform in various jurisdictions is unclear. We collect and remit sales tax and other taxes in the United States and value-added tax, in a number of international jurisdictions. However, we could face tax audits in which tax authorities in the United States and other jurisdictions could successfully assert that we are obligated to collect additional tax amounts from our paying customers and remit those amounts to those authorities. As a result, our liability for these taxes could exceed our estimates. We could also be subject to audits in states and Non-U.S. jurisdictions for which we have not accrued tax liabilities. A successful assertion that we should be collecting additional sales or other taxes on our platform in jurisdictions where we have not historically done so and do not accrue for such taxes could result in substantial tax liabilities for past sales, discourage organizations from subscribing to our platform, and otherwise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one or more state, local or non-U.S. tax authorities could seek to impose additional sales, use, telecommunications or other taxes and other tax collection and record-keeping obligations on us or may determine that such taxes should have, but have not been, paid by us. Liability for past taxes may also include substantial interest and penalty charges. Any successful action by state, local or non-U.S. tax authorities to compel us to collect and remit sales tax, use tax, telecommunication tax or other taxes, either retroactively, prospectively, or both,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and regulations in the United States and other jurisdictions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New income, sales, use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For example, U.S. H.R. 1 (119th Congress), signed into law in July 2025, commonly known as the One Big Beautiful Bill Act, made significant changes to U.S. federal tax law. Changes to tax laws (which in some cases may have retroactive applications), including with respect to NOLs and other tax attributes, could adversely affect us, holders of our common stock, or our customers. If we raise our prices to offset the costs of these changes, existing and prospective customers may elect not to purchase our offerings in the future. Additionally, new, changed, modified or newly interpreted or applied tax laws could increase our customers’ and our own compliance, operating and other costs, as well as the costs of our offerings. Further, these events could decrease the capital we have available to operate our business. Any or all of these events may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we expand the scale of our international business activities, any changes in the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tax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may be adversely affected by changes in accounting principles applicable to us.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GAAP is subject to interpretation by the Financial Accounting Standards Board, the SEC and other various bodies formed to promulgate and interpret appropriate accounting principles. Changes in accounting principles applicable to us, or varying interpretations of current accounting principles, could have a significant effect on our reported results of operations. Further, any difficulties in the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Ownership of Our Class A Common Stock and Governance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multi-class structure of our common stock has the effect of concentrating voting power with Ara Mahdessian, our Co-Founder, Chief Executive Officer and a member of our board of directors, and Vahe Kuzoyan, our Co-Founder, President and a member of our board of directors,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Class A common stock has one vote per share, our Class B common stock has 10 votes per share and our Class C common stock has no votes per share, except as otherwise required by law. Our Co-Founders and their respective affiliates together hold all of the issued and outstanding shares of our Class B common stock. Accordingly, as of July 31, 2026, the shares held by our Co-Founders (including shares over which they have voting or administrative control) represented approximately 60% of the voting power of our outstanding capital stock, which voting power may increase over time as our Co-Founders exercise or vest in equity awards over time. If all such equity awards held by our Co-Founders (including the shares of our Class B common stock subject to performance-based RSUs that were granted to our Co-Founders in October 2024 and that vest upon the satisfaction of a service condition and achievement of certain stock price hurdles) had been exercised or vested and settled in shares of our Class B common stock as of July 31, 2026, the shares held by our Co-Founders (including shares over which they have voting or administrative control) represented approximately 72% of the voting power of our outstanding capital stock. As a result, our Co-Founders, along with our other principal stockholders, will be able to significantly influence or control any action requiring the approval of our stockholders,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Our Co-Founders may have interests that differ from yours and may vote in a way with which you disagree and which may be adverse to your interests. This concentrated control or significant influence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Co-Founders and our other stockholders, which may result in our Co- Founders undertaking, or causing us to undertake, actions that would be desirable for our Co-Founders but would not be desirable for our other stockholders.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Future transfers by the holders of Class B common stock will generally result in those shares automatically converting into shares of Class A common stock, subject to limited exceptions, such as certain transfers effected for estate planning. In addition, each share of Class B common stock will convert automatically into one share of Class A common stock upon certain events specified in our amended and restated certificate of incorporation. If the employment of one of our Co-Founders is terminated by us for reasons other than cause or death, the shares of Class B common stock held by such Co-Founder (and his affiliates) will not automatically convert into shares of Class A common stock upon such a termination. Under these circumstances, one of our Co-Founders could no longer be employed by us but continue to hold shares of Class B common stock that represent significant voting power of our capital stock and could undertake actions that would be desirable for such Co-Founder but would not be desirable for other stockholders.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have no shares of our Class C common stock, which entitle the holder to no votes per share (except as otherwise required by law), issued and outstanding, and we have no current plans to issue shares of Class C common stock. These shares are available to be used in the future for various uses including to further strategic initiatives, such as financings or acquisitions, or issue future equity awards to our service providers. Over time, the issuance of shares of Class A common stock will result in voting dilution to all of our stockholders and this dilution could eventually result in our Co-Founders holding less than a majority of our total outstanding voting power. Once our Co-Founders own less than a majority of our total outstanding voting power, our Co- Founders will no longer have the unilateral ability to elect all of our directors and to significantly influence or control the outcome of any matter submitted for a vote of our stockholders. Because the shares of Class C common stock have no voting rights (except as required by law), the issuance of such shares will not result in further voting dilution, which will prolong the voting power of our Co-Founders. As a result, the issuance of shares of Class C common stock could prolong the duration of our Co-Founders’ control of our voting power and their ability to elect all of our directors and to significantly influence or control the outcome of most matters submitted to a vote of our stockholders. In addition, we could issue shares of Class C common stock to our Co-Founders and, in that event, they would be able to sell such shares of Class C common stock and achieve liquidity in their holdings without diminishing their voting power. Any future issuances of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31F20"/>
          <w:sz w:val="20"/>
        </w:rPr>
        <w:t>of Class C common stock will not be subject to approval by our stockholders except as required by Nasdaq listing standards. For additional information about our multi-class structure, refer to the “</w:t>
      </w:r>
      <w:r>
        <w:rPr>
          <w:rFonts w:ascii="Times New Roman" w:hAnsi="Times New Roman"/>
          <w:i/>
          <w:color w:val="231F20"/>
          <w:sz w:val="20"/>
        </w:rPr>
        <w:t>Description of Securities Registered Pursuant to Section 12 of the Securities Exchange Act of 1934,</w:t>
      </w:r>
      <w:r>
        <w:rPr>
          <w:rFonts w:ascii="Times New Roman" w:hAnsi="Times New Roman"/>
          <w:color w:val="231F20"/>
          <w:sz w:val="20"/>
        </w:rPr>
        <w:t>” filed as Exhibit 4.1 to our Annual Report on Form 10-K for the year ended January 31,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cannot predict the effect our multi-class structure may have on the market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cannot predict whether our multi-class structure will result in a lower or more volatile market price of our Class A common stock, adverse publicity or other adverse consequences. For example, certain stock index providers have excluded or limited the eligibility of public companies with multiple classes of shares of common stock from being added to certain stock indices. The multi-class structure of our common stock would therefore make us ineligible for inclusion in indices with such restrictions and, as a result, mutual funds, exchange-traded funds, and other investment vehicles that attempt to passively track these indices may not invest in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several stockholder advisory firms and large institutional investors have been critical of the use of multi-class structures. Such stockholder advisory firms may publish negative commentary about our corporate governance practices or capital structure, which may dissuade large institutional investors from purchasing shares of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actions could make our Class A common stock less attractive to other investors. As a result, the market price of our Class A common stock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trading price of our Class A common stock may be volatile.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was no public market for our Class A common stock prior to our IPO, and an active trading market for our Class A common stock may not sustain its current levels. In addition, the trading price of our Class A common stock may fluctuate significantly in response to a number of factors, most of which we cannot predict or control,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price and volume fluctuations in the overall stock market or of technology stocks from time to time;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volatility in the market due to macroeconomic developments, including but not limited to, the occurrence of pandemics, rising interest rates, other trade protection measures and increased inflation;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operating performance and stock market valuations of other technology companies generally, or those in our industry in particular;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shares of our Class A common stock by us or our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financial projections we may provide to the public, any changes in those projections or our failure to meet those projections;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announcements by us or our competitors of new offerings or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public’s reaction to our press releases, other public announcements and filings with the SEC;</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rumors and market speculation involving us or other companies in our industry;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short selling of our Class A common stock or related derivative securities;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anticipated changes in our results of operations or fluctuations in our results of operations, including due to the seasonality of our business;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perceived cybersecurity breaches or incidents;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anticipated developments in our business, our competitors’ businesses or the competitive landscape generally;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announced or completed acquisitions of businesses, products or technologies by us or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developments or disputes concerning our intellectual property or other proprietary rights;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litigation involving us, our industry, or both, or investigations by regulators into our operations or those of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new laws, regulations, rules or industry standards or new interpretations of existing laws, regulations, rules or industry standards applicable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impact of political instability, natural disasters, war and/or events of terrorism, such as the conflict in the Middle East and between Russia and Ukraine and the corresponding tensions created from such conflict between Russia, the United States and countries in Europe and the Middle East, as well as other countries such as China;</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accounting standards, policies, guidelines, interpretations or principles;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significant change in our management or board of directors;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our Class A common stock by us, our founders, officers, directors and employees.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if the market for technology stocks or the stock market in general experiences a loss of investor confidence, the trading price of our Class A common stock could decline for reasons unrelated to our business, financial condition or results of operations. The trading price of our Class A common stock might also decline in reaction to events that affect other companies in our industry even if these events do not directly affect us. In the past, following periods of volatility in the overall market and the trading price of a particular company’s securities, securities class action litigation has often been instituted against these companies. This litigation, if instituted against us, would result in substantial costs and a diversion of our management’s attention and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Recently, the stock markets in general, and the markets for technology stocks in particular, have experienced extreme volatility. The stock prices of many technology companies have declined significantly and in certain instances the declines have been unrelated or disproportionate to the operating performance of those companies. Software company stock prices have experienced significant declines, driven in part by investor concerns that advances in AI, including agentic AI and AI-enabled automation tools, may disrupt traditional software business models and pricing structures. Furthermore, the trading price of our Class A common stock may be adversely affected by third parties trying to drive down the trading price of our Class A common stock. Short sellers and others, some of whom post anonymously on social media, can negatively affect the trading price of our Class A common stock and may be positioned to profit if the trading price of our Class A common stock declines. These broad market and industry factors may seriously harm the trading price of our Class A common stock, regardless of our operating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Sales of a substantial number of shares of our Class A common stock (including shares of our Class A common stock issuable upon conversion of our Class B common stock) could depress the trading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trading price of our Class A common stock could decline as a result of sales of a large number of shares of our Class A common stock in the public market, particularly sales by our directors, officers, and principal stockholders, and the perception that these sales could occur may also depress the trading price of our Class A common stock. As of July 31, 2026, we had 83,857,202 shares of our Class A common stock, 12,605,018 shares of our Class B common stock and no shares of our Class C common stock outstanding. While shares held by directors, executive officers, and other affiliates are subject to volume limitations under Rule 144 under the Securities Act, we are unable to predict the timing of or the effect that such sales may have on the prevailing trading price of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Certain holders of our Class A common stock (including shares of our Class A common stock issuable upon conversion of our Class B common stock and/or the exercise or settlement, as applicable, of outstanding equity awards) are entitled, under the provisions of our amended and restated investors’ rights agreement, dated as of July 27, 2023, to require us to register shares owned by them for public sale in the United States. Any registration statement we file to register shares, whether as a result of registration rights or otherwise, could cause the trading price of our Class A common stock to decline or be volatile. In addition, we have filed registration statements on Form S-8 under the Securities Act to register shares reserved for future issuance under our equity compensation plans and, subject to the satisfaction of applicable exercise periods, the shares issued upon exercise of outstanding stock options will be available for immediate resale in the United States in the public market, subject in some cases to the volume and other restrictions of Rule 144.</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Sales of our Class A common stock as restrictions end or pursuant to registration rights may make it more difficult for us to sell equity securities in the future at a time and price that we deem appropriate. These sales also could cause the trading price of our Class A common stock to fall and make it more difficult for you to sell shares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status as a Delaware corporation and the anti-takeover provisions of the General Corporation Law of the State of Delaware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in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bylaws provide that approval of the holders of at least two-thirds of the voting power of the outstanding shares of our capital stock voting as a single class is required for stockholders to amend or adopt any provision of our bylaws;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multi-class structure, which provides our Co-Founders with the ability to significantly influence or control the outcome of matters requiring stockholder approval, even if they own significantly less than a majority of the shares of our outstanding Class A common stock, Class B common stock and Class C common stock;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certificate of incorporation does not provide for cumulative voting;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vacancies on our board of directors will be filled only by appointment by our board of directors and not by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board of directors is classified into three classes of directors with staggered three-year terms and directors are only able to be removed from office for cause;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 special meeting of our stockholders may only be called by the chairperson of our board of directors, our Chief Executive Officer, our President or a majority of our board of directors;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certain litigation against us can only be brought in Delaware;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certificate of incorporation authorizes undesignated preferred stock, the terms of which may be established and shares of which may be issued without further action by our stockholders;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advance notice procedures apply for stockholders to nominate candidates for election as directors or to bring matters before an annual meeting of stockholders.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DGCL,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or other state courts of the State of Delaware), in all cases subject to the court having jurisdiction over indispensable parties named as defendants.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the federal district courts of the United States are the exclusive forum for resolving any complaints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will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us, our business or our market, or if they change their recommendations regarding our Class A common stock adversely, the trading price and trading volume of our Class A common stock could decline.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trading market for our Class A common stock depends, in part, on the research and reports that securities or industry analysts publish about us, our business, our market or our competitors. The analysts’ estimates are based upon their own opinions and are often different from our estimates or expectations. Analysts may misinterpret our business and focus on certain standard SaaS metrics, like calculated billings and remaining performance obligations, that are not as applicable to us as other peer companies. If any of the analysts who cover us change their recommendation regarding our Class A common stock adversely, provide more favorable relative recommendations about our competitors, or publish inaccurate or unfavorable research about our business, the trading price of our Class A common stock would likely decline. If few securities analysts commence coverage of us, or if one or more of these analysts cease coverage of us or fail to publish reports on us regularly, we could lose visibility in the financial markets and demand for our securities could decrease, which could cause the trading price and volume of our Class A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intend to pay cash dividends for the foreseeable future on our capital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never declared or paid any cash dividends on our common stock and do not intend to pay any cash dividends in the foreseeable future on our capital stock.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capital stock after price appreciation, which may never occur, as the only way to realize any future gains on their investments.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 entity affiliated with Vahe Kuzoyan, our Co-Founder and President has pledged shares of our Class B common stock to secure certain borrowings. The forced sale of these shares pursuant to a margin call would cause these shares of Class B common stock to convert into shares of Class A common stock and could cause our stock price to decline and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Vahe Kuzoyan, our Co-Founder, President and a member of our board of directors and his spouse, individually and as trustees of the K-A Family Trust dated December 6, 2021 (the “Trust”), entered into a loan agreement and security and pledge agreement, as amended in July 2025. The loan is secured by pledges of a portion of our Class B common stock currently owned by the Trust. Mr. Kuzoyan exercises voting control over the pledged shares of Class B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price of our Class A common stock were to decline substantially, Mr. Kuzoyan, his spouse and the Trust may be forced to provide additional collateral for the loan or to sell shares of our Class A common stock (after converting shares of Class B common stock) in order to remain within the margin limitations imposed under the terms of the loan. The loan agreement prohibits the non-pledged shares currently owned by Mr. Kuzoyan, his spouse and the Trust, as well as equity interests in our Company held by Mr. Kuzoyan, from being pledged to secure any other loans or from being sold, transferred or assigned. These factors may limit Mr. Kuzoyan’s and the Trust’s ability to either pledge additional shares of our Class B common stock or sell shares of our Class A common stock (after converting shares of Class B common stock) as a means to avoid or satisfy a margin call with respect to the pledged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our Class B common stock in the event of a decline in our stock price that is so substantial as to trigger a margin call. Any sales of Class A common stock following a margin call that is not satisfied may cause the price of our Class A common stock to decline further. </w:t>
      </w:r>
    </w:p>
    <w:p>
      <w:pPr>
        <w:pStyle w:val="TextBody"/>
        <w:bidi w:val="0"/>
        <w:spacing w:before="360" w:after="283"/>
        <w:jc w:val="both"/>
        <w:rPr>
          <w:rFonts w:ascii="Times New Roman" w:hAnsi="Times New Roman"/>
          <w:b/>
          <w:color w:val="000000"/>
          <w:sz w:val="20"/>
        </w:rPr>
      </w:pPr>
      <w:bookmarkStart w:id="19" w:name="item_2_unregistered_sales_of_equity"/>
      <w:bookmarkEnd w:id="19"/>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11, 2024, our registration statement on Form S-1 (File No. 333-283296), as amended, was declared effective by the Securities and Exchange Commission (the “SEC”) in connection with our initial public offering (“IPO”). We received aggregate proceeds of $674.1 million, net of underwriting costs and offering expenses. There has been no material change in the expected use of the net proceeds from our IPO as described in our Prospectus, filed with the SEC on December 12,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0" w:name="items_3_and_4"/>
      <w:bookmarkEnd w:id="20"/>
      <w:r>
        <w:rPr>
          <w:rFonts w:ascii="Times New Roman" w:hAnsi="Times New Roman"/>
          <w:b/>
          <w:color w:val="000000"/>
          <w:sz w:val="20"/>
        </w:rPr>
        <w:t>ITEM 3.</w:t>
      </w:r>
      <w:r>
        <w:rPr>
          <w:rFonts w:ascii="Times New Roman" w:hAnsi="Times New Roman"/>
          <w:caps/>
          <w:color w:val="000000"/>
          <w:sz w:val="20"/>
        </w:rPr>
        <w:t xml:space="preserve"> </w:t>
      </w:r>
      <w:r>
        <w:rPr>
          <w:rFonts w:ascii="Times New Roman" w:hAnsi="Times New Roman"/>
          <w:b/>
          <w:caps/>
          <w:color w:val="000000"/>
          <w:sz w:val="20"/>
        </w:rPr>
        <w:t>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1" w:name="mine_safety"/>
      <w:bookmarkEnd w:id="21"/>
      <w:r>
        <w:rPr>
          <w:rFonts w:ascii="Times New Roman" w:hAnsi="Times New Roman"/>
          <w:b/>
          <w:color w:val="000000"/>
          <w:sz w:val="20"/>
        </w:rPr>
        <w:t xml:space="preserve">ITEM 4. </w:t>
      </w:r>
      <w:r>
        <w:rPr>
          <w:rFonts w:ascii="Times New Roman" w:hAnsi="Times New Roman"/>
          <w:b/>
          <w:caps/>
          <w:color w:val="000000"/>
          <w:sz w:val="20"/>
        </w:rPr>
        <w:t>Mine</w:t>
      </w:r>
      <w:r>
        <w:rPr>
          <w:rFonts w:ascii="Times New Roman" w:hAnsi="Times New Roman"/>
          <w:caps/>
          <w:color w:val="000000"/>
          <w:sz w:val="20"/>
        </w:rPr>
        <w:t xml:space="preserve"> </w:t>
      </w:r>
      <w:r>
        <w:rPr>
          <w:rFonts w:ascii="Times New Roman" w:hAnsi="Times New Roman"/>
          <w:b/>
          <w:caps/>
          <w:color w:val="000000"/>
          <w:sz w:val="20"/>
        </w:rPr>
        <w:t>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Disclosure in lieu of reporting on a Current Report on Form 8-K.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Company’s 2026 annual meeting of stockholders held on June 17, 2026, the stockholders of the Company voted, on an advisory basis, on the frequency of future advisory votes on the compensation of the Company’s named executive officers. The stockholders voted to hold the advisory vote on executive compensation on an annual basis. Consistent with the stockholders’ advisory vote, the Board of Directors of the Company has determined that the Company will hold an advisory vote on the compensation of its named executive officers every year. This frequency will remain in effect until the next required advisory vote on the frequency of say-on-pay votes.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 Material changes to the procedures by which security holders may recommend nominees to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 Insider Trading Arrangements and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July 31, 2026, no director or “officer” of the Company (as defined in Rule 16a-1(f) of the Exchange Act) adopted or terminated a “Rule 10b5-1 trading arrangement” or a “non-Rule 10b5-1 trading arrangement,” as each term is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3" w:name="item_6_exhibits"/>
      <w:bookmarkEnd w:id="2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1"/>
        <w:gridCol w:w="146"/>
        <w:gridCol w:w="4961"/>
        <w:gridCol w:w="146"/>
        <w:gridCol w:w="511"/>
        <w:gridCol w:w="146"/>
        <w:gridCol w:w="835"/>
        <w:gridCol w:w="146"/>
        <w:gridCol w:w="631"/>
        <w:gridCol w:w="146"/>
        <w:gridCol w:w="654"/>
        <w:gridCol w:w="146"/>
        <w:gridCol w:w="996"/>
      </w:tblGrid>
      <w:tr>
        <w:trPr/>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 Herewith</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001-42434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001-42434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Class A Common Stock Certificate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B Common Stock Certificate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by and among ServiceTitan, Inc. and certain holders of its capital stock, dated as of July 27,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shall not be incorporated by reference into any filing of ServiceTitan, Inc. under the Securities Act of 1933, as amended, or the Securities Exchange Act of 1934, as amended, whether made before or after the date of this Quarterly Report on Form 10-Q, irrespective of any general incorporation language contained in any such filing.</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499" w:type="dxa"/>
        <w:jc w:val="left"/>
        <w:tblInd w:w="0" w:type="dxa"/>
        <w:tblLayout w:type="fixed"/>
        <w:tblCellMar>
          <w:top w:w="28" w:type="dxa"/>
          <w:left w:w="28" w:type="dxa"/>
          <w:bottom w:w="28" w:type="dxa"/>
          <w:right w:w="28" w:type="dxa"/>
        </w:tblCellMar>
      </w:tblPr>
      <w:tblGrid>
        <w:gridCol w:w="2116"/>
        <w:gridCol w:w="146"/>
        <w:gridCol w:w="406"/>
        <w:gridCol w:w="483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ServiceTitan, Inc.</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(Duly Authorized Officer and 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tan-ex31_1.htm"/>
      <w:bookmarkStart w:id="26" w:name="ksttanex31_1"/>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Ara Mahdessian,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ServiceTitan,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37" w:type="dxa"/>
        <w:jc w:val="left"/>
        <w:tblInd w:w="0" w:type="dxa"/>
        <w:tblLayout w:type="fixed"/>
        <w:tblCellMar>
          <w:top w:w="28" w:type="dxa"/>
          <w:left w:w="28" w:type="dxa"/>
          <w:bottom w:w="28" w:type="dxa"/>
          <w:right w:w="28" w:type="dxa"/>
        </w:tblCellMar>
      </w:tblPr>
      <w:tblGrid>
        <w:gridCol w:w="2116"/>
        <w:gridCol w:w="109"/>
        <w:gridCol w:w="406"/>
        <w:gridCol w:w="250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Ara Mahdessian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Ara Mahdessian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ttan-ex31_2.htm"/>
      <w:bookmarkStart w:id="28" w:name="ksttanex31_2"/>
      <w:bookmarkEnd w:id="27"/>
      <w:bookmarkEnd w:id="2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Dave Sherry,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ServiceTitan,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52" w:type="dxa"/>
        <w:jc w:val="left"/>
        <w:tblInd w:w="0" w:type="dxa"/>
        <w:tblLayout w:type="fixed"/>
        <w:tblCellMar>
          <w:top w:w="28" w:type="dxa"/>
          <w:left w:w="28" w:type="dxa"/>
          <w:bottom w:w="28" w:type="dxa"/>
          <w:right w:w="28" w:type="dxa"/>
        </w:tblCellMar>
      </w:tblPr>
      <w:tblGrid>
        <w:gridCol w:w="2116"/>
        <w:gridCol w:w="109"/>
        <w:gridCol w:w="406"/>
        <w:gridCol w:w="252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ttan-ex32_1.htm"/>
      <w:bookmarkStart w:id="30" w:name="ksttan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ServiceTitan, Inc. (the “Company”) for the fiscal quarter ended July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37" w:type="dxa"/>
        <w:jc w:val="left"/>
        <w:tblInd w:w="0" w:type="dxa"/>
        <w:tblLayout w:type="fixed"/>
        <w:tblCellMar>
          <w:top w:w="28" w:type="dxa"/>
          <w:left w:w="28" w:type="dxa"/>
          <w:bottom w:w="28" w:type="dxa"/>
          <w:right w:w="28" w:type="dxa"/>
        </w:tblCellMar>
      </w:tblPr>
      <w:tblGrid>
        <w:gridCol w:w="2116"/>
        <w:gridCol w:w="109"/>
        <w:gridCol w:w="406"/>
        <w:gridCol w:w="250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Ara Mahdessian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Ara Mahdessian</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ttan-ex32_2.htm"/>
      <w:bookmarkStart w:id="32" w:name="ksttanex32_2"/>
      <w:bookmarkEnd w:id="31"/>
      <w:bookmarkEnd w:id="3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ServiceTitan, Inc. (the “Company”) for the fiscal quarter ended July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52" w:type="dxa"/>
        <w:jc w:val="left"/>
        <w:tblInd w:w="0" w:type="dxa"/>
        <w:tblLayout w:type="fixed"/>
        <w:tblCellMar>
          <w:top w:w="28" w:type="dxa"/>
          <w:left w:w="28" w:type="dxa"/>
          <w:bottom w:w="28" w:type="dxa"/>
          <w:right w:w="28" w:type="dxa"/>
        </w:tblCellMar>
      </w:tblPr>
      <w:tblGrid>
        <w:gridCol w:w="2116"/>
        <w:gridCol w:w="109"/>
        <w:gridCol w:w="406"/>
        <w:gridCol w:w="252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8826/000119312524278469/d918320dex31.htm" TargetMode="External"/><Relationship Id="rId3" Type="http://schemas.openxmlformats.org/officeDocument/2006/relationships/hyperlink" Target="https://www.sec.gov/Archives/edgar/data/1638826/000119312524278469/d918320dex32.htm" TargetMode="External"/><Relationship Id="rId4" Type="http://schemas.openxmlformats.org/officeDocument/2006/relationships/hyperlink" Target="https://www.sec.gov/Archives/edgar/data/1638826/000119312524260611/d577298dex42.htm" TargetMode="External"/><Relationship Id="rId5" Type="http://schemas.openxmlformats.org/officeDocument/2006/relationships/hyperlink" Target="https://www.sec.gov/Archives/edgar/data/1638826/000119312524276164/d877864dex46.htm" TargetMode="External"/><Relationship Id="rId6" Type="http://schemas.openxmlformats.org/officeDocument/2006/relationships/hyperlink" Target="https://www.sec.gov/Archives/edgar/data/1638826/000119312524260611/d577298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55140</Words>
  <Characters>307371</Characters>
  <CharactersWithSpaces>363843</CharactersWithSpaces>
  <Paragraphs>8971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