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Kuzoyan Vahe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SERVICETITAN,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N. BRAND BLVD.,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GLENDALE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ServiceTitan, Inc.</w:t>
              </w:r>
            </w:hyperlink>
            <w:r>
              <w:rPr/>
              <w:t xml:space="preserve"> [ </w:t>
            </w:r>
            <w:r>
              <w:rPr>
                <w:rFonts w:ascii="Times;serif" w:hAnsi="Times;serif"/>
                <w:color w:val="0000FF"/>
                <w:sz w:val="24"/>
                <w:shd w:fill="FFFFFF" w:val="clear"/>
              </w:rPr>
              <w:t>TTAN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1051"/>
        <w:gridCol w:w="443"/>
        <w:gridCol w:w="748"/>
        <w:gridCol w:w="1177"/>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3,147.75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3,149.75</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3,147.75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57.07</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w:t>
            </w:r>
            <w:r>
              <w:rPr>
                <w:rFonts w:ascii="Times;serif" w:hAnsi="Times;serif"/>
                <w:color w:val="008000"/>
                <w:position w:val="7"/>
                <w:sz w:val="16"/>
                <w:sz w:val="20"/>
                <w:shd w:fill="FFFFFF" w:val="clear"/>
              </w:rPr>
              <w:t>(3)</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5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861"/>
        <w:gridCol w:w="906"/>
        <w:gridCol w:w="801"/>
        <w:gridCol w:w="891"/>
        <w:gridCol w:w="1101"/>
        <w:gridCol w:w="801"/>
        <w:gridCol w:w="966"/>
        <w:gridCol w:w="831"/>
        <w:gridCol w:w="1101"/>
      </w:tblGrid>
      <w:tr>
        <w:trPr>
          <w:tblHeader w:val="true"/>
        </w:trPr>
        <w:tc>
          <w:tcPr>
            <w:tcW w:w="128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3,147.75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3,147.75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3,378,578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267,716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267,716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RA 2024 GRAT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241,660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241,660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RA 2025 GRAT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103,365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103,365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RA 2025-2 GRAT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113,263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113,263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RA Irrevocable Nonexempt Trust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5,372,245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5,372,245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the K-A Family Trust dated December 6, 2021</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267,716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267,716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VK 2024 GRAT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241,660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241,660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VK 2025 GRAT</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103,365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103,365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VK 2025-2 GRAT</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113,263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113,263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VK Irrevocable Nonexempt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conversion of Class B Common Stock into Class A Common Stock held of record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sold to satisfy the Reporting Person's tax withholding obligation in connection with the vesting of restricted stock units. These sales are mandated as part of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number includes rounding of fractional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Class B common stock is convertible into an equal number of shares of Class A common stock at any time, at the holder's election. Each share of Class B Common Stock will convert automatically into one share of Class A Common Stock upon any transfer, whether or not for value, except for certain permitted transfers, or upon the occurrence of certain specified events, in each case as set forth in the Issuer's Amended and Restated Certificate of Incorporation.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Shrout,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8757" TargetMode="External"/><Relationship Id="rId5" Type="http://schemas.openxmlformats.org/officeDocument/2006/relationships/hyperlink" Target="http://www.sec.gov/cgi-bin/browse-edgar?action=getcompany&amp;CIK=00016388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952</Words>
  <Characters>4856</Characters>
  <CharactersWithSpaces>5627</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