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O'Connor Michele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SERVICETITAN,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 N. BRAND BLVD.,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GLENDALE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ServiceTitan, Inc.</w:t>
              </w:r>
            </w:hyperlink>
            <w:r>
              <w:rPr/>
              <w:t xml:space="preserve"> [ </w:t>
            </w:r>
            <w:r>
              <w:rPr>
                <w:rFonts w:ascii="Times;serif" w:hAnsi="Times;serif"/>
                <w:color w:val="0000FF"/>
                <w:sz w:val="24"/>
                <w:shd w:fill="FFFFFF" w:val="clear"/>
              </w:rPr>
              <w:t>TTAN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Accounting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047"/>
        <w:gridCol w:w="438"/>
        <w:gridCol w:w="745"/>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5,581.25</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57.07</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66,094.75</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sold to satisfy the Reporting Person's tax withholding obligation in connection with the vesting of restricted stock units. These sales are mandated as part of the Issuer's election under its equity incentive plans to require the satisfaction of tax withholding obligations to be funded by a "sell to cover" transaction and do not represent discretionary trades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Travis Shrout,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1322" TargetMode="External"/><Relationship Id="rId5" Type="http://schemas.openxmlformats.org/officeDocument/2006/relationships/hyperlink" Target="http://www.sec.gov/cgi-bin/browse-edgar?action=getcompany&amp;CIK=00016388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3457</Characters>
  <CharactersWithSpaces>4020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