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Deeter Byron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BESSEMER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1865 PALMER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LARCHMONT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2"/>
        <w:gridCol w:w="915"/>
        <w:gridCol w:w="784"/>
        <w:gridCol w:w="608"/>
        <w:gridCol w:w="349"/>
        <w:gridCol w:w="798"/>
        <w:gridCol w:w="448"/>
        <w:gridCol w:w="714"/>
        <w:gridCol w:w="1158"/>
        <w:gridCol w:w="996"/>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(1)(2)(7)</w:t>
            </w:r>
          </w:p>
        </w:tc>
      </w:tr>
      <w:tr>
        <w:trPr/>
        <w:tc>
          <w:tcPr>
            <w:tcW w:w="22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(3)</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(2)(3)(7)</w:t>
            </w:r>
          </w:p>
        </w:tc>
      </w:tr>
      <w:tr>
        <w:trPr/>
        <w:tc>
          <w:tcPr>
            <w:tcW w:w="22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4,937</w:t>
            </w:r>
            <w:r>
              <w:rPr>
                <w:rFonts w:ascii="Times;serif" w:hAnsi="Times;serif"/>
                <w:color w:val="008000"/>
                <w:position w:val="7"/>
                <w:sz w:val="16"/>
                <w:sz w:val="20"/>
                <w:shd w:fill="FFFFFF" w:val="clear"/>
              </w:rPr>
              <w:t>(4)(5)(6)</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16, 2026, Bessemer Venture Partners VIII L.P. ("BVP VIII"), Bessemer Venture Partners VIII Institutional L.P. ("BVP VIII Inst") and 15 Angels II LLC ("15 Angels" and together with BVP VIII and BVP VIII Inst, the "Bessemer Funds") sold 35,592 shares, 42,805 shares and 1,912 shares of Class A Common Stock of the Issuer, respectively. These shares were sold at a weighted average price of $78.46. These shares were sold in multiple transactions at prices ranging from $78.00 to $79.00.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partner at Bessemer Venture Partners and has an indirect, passive economic interest in the shares held by the Bessemer Funds by virtue of his interest in (1) Deer VIII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17, 2026, BVP VIII, BVP VIII Inst and 15 Angels sold 35,320 shares, 42,475 shares and 1,896 shares of Class A Common Stock of the Issuer, respectively. These shares were sold at a weighted average price of $76.06. These shares were sold in multiple transactions at prices ranging from $75.69 to $76.53.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an award of 3,046 restricted stock units ("RSUs") granted pursuant to the Issuer's non-employee director compensation program. The RSUs will vest in full on September 15, 2027, subject to the Reporting Person's continued service on the Issuer's board of directors through such vesting date.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an award of 1,891 RSUs granted pursuant to the Issuer's non-employee director compensation program. The RSUs will vest in full on September 15, 2026, subject to the Reporting Person's continued service on the Issuer's board of directors through such vesting date.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has agreed to assign to Deer Management Co. LLC ("DMC") the right to any RSUs or Class A Common Stock issuable pursuant to these grants or any proceeds from the sale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After the July 14 and July 15 trades, BVP VIII, BVP VIII Inst and 15 Angels, own 1,677,947 shares, 2,017,965 shares, and 90,045 shares of Class A Common Stock,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Augie Wilkinson,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6450"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1121</Words>
  <Characters>5889</Characters>
  <CharactersWithSpaces>6924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