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Mahdessian 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51"/>
        <w:gridCol w:w="446"/>
        <w:gridCol w:w="74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3,147.75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3,149.5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3,147.75</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57.07</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w:t>
            </w:r>
            <w:r>
              <w:rPr>
                <w:rFonts w:ascii="Times;serif" w:hAnsi="Times;serif"/>
                <w:color w:val="008000"/>
                <w:position w:val="7"/>
                <w:sz w:val="16"/>
                <w:sz w:val="20"/>
                <w:shd w:fill="FFFFFF" w:val="clear"/>
              </w:rPr>
              <w:t>(3)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61"/>
        <w:gridCol w:w="906"/>
        <w:gridCol w:w="801"/>
        <w:gridCol w:w="891"/>
        <w:gridCol w:w="1101"/>
        <w:gridCol w:w="801"/>
        <w:gridCol w:w="1026"/>
        <w:gridCol w:w="831"/>
        <w:gridCol w:w="1101"/>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3,147.75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3,262,614</w:t>
            </w:r>
            <w:r>
              <w:rPr>
                <w:rFonts w:ascii="Times;serif" w:hAnsi="Times;serif"/>
                <w:color w:val="008000"/>
                <w:position w:val="7"/>
                <w:sz w:val="16"/>
                <w:sz w:val="20"/>
                <w:shd w:fill="FFFFFF" w:val="clear"/>
              </w:rPr>
              <w:t>(5)(6)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4,216,857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4,216,857</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AMKE Trust dated February 1, 2019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341,906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341,906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 2026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169,318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169,318</w:t>
            </w:r>
            <w:r>
              <w:rPr>
                <w:rFonts w:ascii="Times;serif" w:hAnsi="Times;serif"/>
                <w:color w:val="008000"/>
                <w:position w:val="7"/>
                <w:sz w:val="16"/>
                <w:sz w:val="20"/>
                <w:shd w:fill="FFFFFF" w:val="clear"/>
              </w:rPr>
              <w:t>(6)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 2026-2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87,128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 Irrevocable Nonexempt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16,047</w:t>
            </w:r>
            <w:r>
              <w:rPr>
                <w:rFonts w:ascii="Times;serif" w:hAnsi="Times;serif"/>
                <w:color w:val="008000"/>
                <w:position w:val="7"/>
                <w:sz w:val="16"/>
                <w:sz w:val="20"/>
                <w:shd w:fill="FFFFFF" w:val="clear"/>
              </w:rPr>
              <w:t>(6)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AM 2025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16,047</w:t>
            </w:r>
            <w:r>
              <w:rPr>
                <w:rFonts w:ascii="Times;serif" w:hAnsi="Times;serif"/>
                <w:color w:val="008000"/>
                <w:position w:val="7"/>
                <w:sz w:val="16"/>
                <w:sz w:val="20"/>
                <w:shd w:fill="FFFFFF" w:val="clear"/>
              </w:rPr>
              <w:t>(7)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KE 2025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w:t>
            </w:r>
            <w:r>
              <w:rPr>
                <w:rFonts w:ascii="Times;serif" w:hAnsi="Times;serif"/>
                <w:color w:val="008000"/>
                <w:position w:val="7"/>
                <w:sz w:val="16"/>
                <w:sz w:val="20"/>
                <w:shd w:fill="FFFFFF" w:val="clear"/>
              </w:rPr>
              <w:t>(7)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341,906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341,906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KE 2026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169,318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169,318</w:t>
            </w:r>
            <w:r>
              <w:rPr>
                <w:rFonts w:ascii="Times;serif" w:hAnsi="Times;serif"/>
                <w:color w:val="008000"/>
                <w:position w:val="7"/>
                <w:sz w:val="16"/>
                <w:sz w:val="20"/>
                <w:shd w:fill="FFFFFF" w:val="clear"/>
              </w:rPr>
              <w:t>(7)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KE 2026-2 GRAT</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87,128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KE Irrevocable Nonexempt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Class B Common Stock into Class A Common Stock held of record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sold to satisfy the Reporting Person's tax withholding obligation in connection with the vesting of restricted stock units. These sales are mandated as part of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number includes rounding of fractional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Class B Common Stock is convertible into an equal number of shares of Class A Common Stock at any time, at the holder's election. Each share of Class B Common Stock will convert automatically into one share of Class A Common Stock upon any transfer, whether or not for value, except for certain permitted transfers, or upon the occurrence of certain specified events, in each case as set forth in the Issuer's Amended and Restated Certificate of Incorporation.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the following transfers of Class B Common Stock from the Reporting Person to the AMKE Trust: the September 17, 2025 transfer of 2,967 shares, the December 18, 2025 transfer of 2,985 shares, the March 18, 2026 transfer of 3,736 shares, and the September 17, 2026 transfer of 2,877 shares. Such transfers were exempt from reporting pursuant to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the following: (i) the September 15, 2026 transfer of 169,319 shares of Class B Common Stock from the AM 2025 GRAT to the Reporting Person in satisfaction of a grantor retained annuity trust ("GRAT") annuity payment owed to the Reporting Person; and (ii) the subsequent September 15, 2026 transfer of 169,318 shares of Class B Common Stock from the Reporting Person to the AM 2026-2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the following: (i) the September 15, 2026 transfer of 169,319 shares of Class B Common Stock from the KE 2025 GRAT to the Reporting Person's spouse in satisfaction of a GRAT annuity payment owed to the Reporting Person's spouse; and (ii) the subsequent September 15, 2026 transfer of 169,318 shares of Class B Common Stock from the Reporting Person's spouse to the KE 2026-2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8788"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1142</Words>
  <Characters>5828</Characters>
  <CharactersWithSpaces>6786</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